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bicrs-en-bio-brandstof-de-chemie"/>
    <w:p>
      <w:pPr>
        <w:pStyle w:val="Heading2"/>
      </w:pPr>
      <w:r>
        <w:t xml:space="preserve">02 — BiCRS en bio-brandstof: de chemie</w:t>
      </w:r>
    </w:p>
    <w:p>
      <w:pPr>
        <w:pStyle w:val="FirstParagraph"/>
      </w:pPr>
      <w:r>
        <w:rPr>
          <w:i/>
          <w:iCs/>
        </w:rPr>
        <w:t xml:space="preserve">De chemische routes van biomass carbon removal and storage, gekoppeld aan bio-ethanol en bio-methanolproductie.</w:t>
      </w:r>
    </w:p>
    <w:p>
      <w:pPr>
        <w:pStyle w:val="BodyText"/>
      </w:pPr>
      <w:r>
        <w:rPr>
          <w:b/>
          <w:bCs/>
        </w:rPr>
        <w:t xml:space="preserve">Wat deze aflevering behandelt</w:t>
      </w:r>
    </w:p>
    <w:p>
      <w:pPr>
        <w:pStyle w:val="Compact"/>
        <w:numPr>
          <w:ilvl w:val="0"/>
          <w:numId w:val="1001"/>
        </w:numPr>
      </w:pPr>
      <w:r>
        <w:t xml:space="preserve">BiCRS — biomass carbon removal and storage — als categorie binnen IPCC-erkende negative emission technologies.</w:t>
      </w:r>
    </w:p>
    <w:p>
      <w:pPr>
        <w:pStyle w:val="Compact"/>
        <w:numPr>
          <w:ilvl w:val="0"/>
          <w:numId w:val="1001"/>
        </w:numPr>
      </w:pPr>
      <w:r>
        <w:t xml:space="preserve">Drie routes voor Juncao-biomassa: directe vergassing en CO₂-injectie in geologische opslag, biomass-to-liquids met CO₂-afvang, en fermentatie tot ethanol met afvang van fermentatie-CO₂.</w:t>
      </w:r>
    </w:p>
    <w:p>
      <w:pPr>
        <w:pStyle w:val="Compact"/>
        <w:numPr>
          <w:ilvl w:val="0"/>
          <w:numId w:val="1001"/>
        </w:numPr>
      </w:pPr>
      <w:r>
        <w:t xml:space="preserve">Bio-methanol via syngas-route: hogere energiedichtheid, geschikt voor scheepvaart en luchtvaart.</w:t>
      </w:r>
    </w:p>
    <w:p>
      <w:pPr>
        <w:pStyle w:val="Compact"/>
        <w:numPr>
          <w:ilvl w:val="0"/>
          <w:numId w:val="1001"/>
        </w:numPr>
      </w:pPr>
      <w:r>
        <w:t xml:space="preserve">Kostencurves: huidige LCOE van BiCRS-routes in vergelijking met aardgas, kerosene en methanol uit aardgas.</w:t>
      </w:r>
    </w:p>
    <w:p>
      <w:pPr>
        <w:pStyle w:val="Compact"/>
        <w:numPr>
          <w:ilvl w:val="0"/>
          <w:numId w:val="1001"/>
        </w:numPr>
      </w:pPr>
      <w:r>
        <w:t xml:space="preserve">De rol van Europese chemische faculteiten en procestechnologie: TU Delft, Aachen, Stuttgart, Lyon — toonaangevende publicaties die nooit in installaties worden vertaald.</w:t>
      </w:r>
    </w:p>
    <w:p>
      <w:pPr>
        <w:pStyle w:val="Compact"/>
        <w:numPr>
          <w:ilvl w:val="0"/>
          <w:numId w:val="1001"/>
        </w:numPr>
      </w:pPr>
      <w:r>
        <w:t xml:space="preserve">De Aziatische voorsprong: Chinese consortia die deze routes commercieel toepassen op kleinere schaal en het kennisrendement van Lin Zhanxi’s kring exploiteren.</w:t>
      </w:r>
    </w:p>
    <w:p>
      <w:pPr>
        <w:pStyle w:val="FirstParagraph"/>
      </w:pPr>
      <w:r>
        <w:rPr>
          <w:i/>
          <w:iCs/>
        </w:rPr>
        <w:t xml:space="preserve">Deze aflevering wordt nog uitgewerkt met procesdiagrammen, energiebalansen per ton biomassa en de drie verschillende eindproducten die in Europa direct afzet vinden.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2026-06-03T08:10:30Z</dcterms:created>
  <dcterms:modified xsi:type="dcterms:W3CDTF">2026-06-03T08:10:30Z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