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a249f056b2fa0cc3f7791765a265fa02160d09"/>
    <w:p>
      <w:pPr>
        <w:pStyle w:val="Heading2"/>
      </w:pPr>
      <w:r>
        <w:t xml:space="preserve">03 — Huisvuilverbranding: de stroom met de hoogste verborgen kosten</w:t>
      </w:r>
    </w:p>
    <w:p>
      <w:pPr>
        <w:pStyle w:val="FirstParagraph"/>
      </w:pPr>
      <w:r>
        <w:rPr>
          <w:i/>
          <w:iCs/>
        </w:rPr>
        <w:t xml:space="preserve">Hoe de Europese afvalverbrandingsinstallaties tot de stroomopwekkers met de hoogste verborgen kosten van het continent zijn vermomd als duurzame energie.</w:t>
      </w:r>
    </w:p>
    <w:p>
      <w:pPr>
        <w:pStyle w:val="BodyText"/>
      </w:pPr>
      <w:r>
        <w:rPr>
          <w:b/>
          <w:bCs/>
        </w:rPr>
        <w:t xml:space="preserve">Wat deze aflevering behandelt</w:t>
      </w:r>
    </w:p>
    <w:p>
      <w:pPr>
        <w:pStyle w:val="Compact"/>
        <w:numPr>
          <w:ilvl w:val="0"/>
          <w:numId w:val="1001"/>
        </w:numPr>
      </w:pPr>
      <w:r>
        <w:t xml:space="preserve">De feitelijke uitstoot: 2,5–2,9 ton CO₂ per ton plastic verbrand (GAIA, Energy Justice, EPA eGRID).</w:t>
      </w:r>
    </w:p>
    <w:p>
      <w:pPr>
        <w:pStyle w:val="Compact"/>
        <w:numPr>
          <w:ilvl w:val="0"/>
          <w:numId w:val="1001"/>
        </w:numPr>
      </w:pPr>
      <w:r>
        <w:t xml:space="preserve">Per kWh: AVI’s stoten 2,5× meer CO₂ uit dan een steenkoolcentrale en 4–5× meer dan een aardgascentrale.</w:t>
      </w:r>
    </w:p>
    <w:p>
      <w:pPr>
        <w:pStyle w:val="Compact"/>
        <w:numPr>
          <w:ilvl w:val="0"/>
          <w:numId w:val="1001"/>
        </w:numPr>
      </w:pPr>
      <w:r>
        <w:t xml:space="preserve">Plastic-fractie in huisvuil: 12–15% massa, maar levert ~80% calorische waarde en ~70% CO₂-uitstoot.</w:t>
      </w:r>
    </w:p>
    <w:p>
      <w:pPr>
        <w:pStyle w:val="Compact"/>
        <w:numPr>
          <w:ilvl w:val="0"/>
          <w:numId w:val="1001"/>
        </w:numPr>
      </w:pPr>
      <w:r>
        <w:t xml:space="preserve">De juridische constructie die dit mogelijk maakt: Landfill Directive 1999/31/EG, Waste Framework Directive 2008/98/EG, RED III.</w:t>
      </w:r>
    </w:p>
    <w:p>
      <w:pPr>
        <w:pStyle w:val="Compact"/>
        <w:numPr>
          <w:ilvl w:val="0"/>
          <w:numId w:val="1001"/>
        </w:numPr>
      </w:pPr>
      <w:r>
        <w:t xml:space="preserve">De Europese cijfers: ~50 megaton CO₂/jaar uit AVI’s, waarvan ~35 megaton uit plastic-fractie.</w:t>
      </w:r>
    </w:p>
    <w:p>
      <w:pPr>
        <w:pStyle w:val="Compact"/>
        <w:numPr>
          <w:ilvl w:val="0"/>
          <w:numId w:val="1001"/>
        </w:numPr>
      </w:pPr>
      <w:r>
        <w:t xml:space="preserve">Waarom dit een dogma blijft:</w:t>
      </w:r>
      <w:r>
        <w:t xml:space="preserve"> </w:t>
      </w:r>
      <w:r>
        <w:t xml:space="preserve">‘</w:t>
      </w:r>
      <w:r>
        <w:t xml:space="preserve">onontbeerlijk</w:t>
      </w:r>
      <w:r>
        <w:t xml:space="preserve">’</w:t>
      </w:r>
      <w:r>
        <w:t xml:space="preserve"> </w:t>
      </w:r>
      <w:r>
        <w:t xml:space="preserve">voor hygiëne, volume-reductie, stadsverwarming, EU-richtlijnconformiteit.</w:t>
      </w:r>
    </w:p>
    <w:p>
      <w:pPr>
        <w:pStyle w:val="FirstParagraph"/>
      </w:pPr>
      <w:r>
        <w:rPr>
          <w:i/>
          <w:iCs/>
        </w:rPr>
        <w:t xml:space="preserve">Deze aflevering wordt nog uitgewerkt met de installatie-data van de grootste Europese AVI’s (AEB Amsterdam, MVA Rothensee, Spittelau Wenen) en de econometrische berekening van de werkelijke kWh-CO₂-verhouding per installatie.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2026-06-03T08:10:30Z</dcterms:created>
  <dcterms:modified xsi:type="dcterms:W3CDTF">2026-06-03T08:10:30Z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