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astic-als-koolstofopslagmedium"/>
    <w:p>
      <w:pPr>
        <w:pStyle w:val="Heading2"/>
      </w:pPr>
      <w:r>
        <w:t xml:space="preserve">04 — Plastic als koolstofopslagmedium</w:t>
      </w:r>
    </w:p>
    <w:p>
      <w:pPr>
        <w:pStyle w:val="FirstParagraph"/>
      </w:pPr>
      <w:r>
        <w:rPr>
          <w:i/>
          <w:iCs/>
        </w:rPr>
        <w:t xml:space="preserve">Hoe de Duitse bruinkool-dagbouwen Europa’s grootste eeuwen-koolstofopslag kunnen worden.</w:t>
      </w:r>
    </w:p>
    <w:p>
      <w:pPr>
        <w:pStyle w:val="BodyText"/>
      </w:pPr>
      <w:r>
        <w:rPr>
          <w:b/>
          <w:bCs/>
        </w:rPr>
        <w:t xml:space="preserve">Wat deze aflevering behandelt</w:t>
      </w:r>
    </w:p>
    <w:p>
      <w:pPr>
        <w:pStyle w:val="Compact"/>
        <w:numPr>
          <w:ilvl w:val="0"/>
          <w:numId w:val="1001"/>
        </w:numPr>
      </w:pPr>
      <w:r>
        <w:t xml:space="preserve">Plastic-stabiliteit in anaerobe geologische omgeving: 500–5000 jaar bewezen, parallel aan natuurlijke fossiele lagen.</w:t>
      </w:r>
    </w:p>
    <w:p>
      <w:pPr>
        <w:pStyle w:val="Compact"/>
        <w:numPr>
          <w:ilvl w:val="0"/>
          <w:numId w:val="1001"/>
        </w:numPr>
      </w:pPr>
      <w:r>
        <w:t xml:space="preserve">De Duitse dagbouwen Garzweiler, Hambach, Inden en Welzow-Süd: dimensies, sluitingsdata (2030), volumecapaciteit, geologische geschiktheid.</w:t>
      </w:r>
    </w:p>
    <w:p>
      <w:pPr>
        <w:pStyle w:val="Compact"/>
        <w:numPr>
          <w:ilvl w:val="0"/>
          <w:numId w:val="1001"/>
        </w:numPr>
      </w:pPr>
      <w:r>
        <w:t xml:space="preserve">De circulariteit die niet circulair mag heten: koolstof uit bruinkool eruit, plastic erin — dezelfde geologische ruimte, omgekeerde stroomrichting.</w:t>
      </w:r>
    </w:p>
    <w:p>
      <w:pPr>
        <w:pStyle w:val="Compact"/>
        <w:numPr>
          <w:ilvl w:val="0"/>
          <w:numId w:val="1001"/>
        </w:numPr>
      </w:pPr>
      <w:r>
        <w:t xml:space="preserve">Logistieke architectuur: scheiding aan de bron in stedelijke gebieden, transport per spoor, sorteer- en inpakhubs bij de dagbouw-rand.</w:t>
      </w:r>
    </w:p>
    <w:p>
      <w:pPr>
        <w:pStyle w:val="Compact"/>
        <w:numPr>
          <w:ilvl w:val="0"/>
          <w:numId w:val="1001"/>
        </w:numPr>
      </w:pPr>
      <w:r>
        <w:t xml:space="preserve">Kosten per ton opgeslagen plastic vs. besparing vs. verbranding: ~2,86 ton CO₂-equivalent vermeden per ton, eeuwen vastlegging.</w:t>
      </w:r>
    </w:p>
    <w:p>
      <w:pPr>
        <w:pStyle w:val="Compact"/>
        <w:numPr>
          <w:ilvl w:val="0"/>
          <w:numId w:val="1001"/>
        </w:numPr>
      </w:pPr>
      <w:r>
        <w:t xml:space="preserve">De grondwet- en milieurechtelijke heroverweging die nodig is voor herclassificatie van dagbouw-burial als</w:t>
      </w:r>
      <w:r>
        <w:t xml:space="preserve"> </w:t>
      </w:r>
      <w:r>
        <w:t xml:space="preserve">‘</w:t>
      </w:r>
      <w:r>
        <w:t xml:space="preserve">carbon storage facility</w:t>
      </w:r>
      <w:r>
        <w:t xml:space="preserve">’</w:t>
      </w:r>
      <w:r>
        <w:t xml:space="preserve"> </w:t>
      </w:r>
      <w:r>
        <w:t xml:space="preserve">in plaats van</w:t>
      </w:r>
      <w:r>
        <w:t xml:space="preserve"> </w:t>
      </w:r>
      <w:r>
        <w:t xml:space="preserve">‘</w:t>
      </w:r>
      <w:r>
        <w:t xml:space="preserve">landfill</w:t>
      </w:r>
      <w:r>
        <w:t xml:space="preserve">’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Deze aflevering wordt nog uitgewerkt met dwarsdoorsneden van de dagbouwen, een logistieke kaart van transport-corridors en de juridische argumentatie voor herclassificatie.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2026-06-03T08:10:29Z</dcterms:created>
  <dcterms:modified xsi:type="dcterms:W3CDTF">2026-06-03T08:10:29Z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