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pers-het-volk-de-bonden"/>
    <w:p>
      <w:pPr>
        <w:pStyle w:val="Heading2"/>
      </w:pPr>
      <w:r>
        <w:t xml:space="preserve">08 — De pers, het volk, de bonden</w:t>
      </w:r>
    </w:p>
    <w:p>
      <w:pPr>
        <w:pStyle w:val="FirstParagraph"/>
      </w:pPr>
      <w:r>
        <w:rPr>
          <w:i/>
          <w:iCs/>
        </w:rPr>
        <w:t xml:space="preserve">De tactische scharnier tussen ontwerp en uitvoering. Vakbonden lijken een remgewicht te dragen, maar zijn dat alleen in de derde orde. Hun ledenbasis is het volk — en het volk wordt bewogen door de pers. Wie de pers heeft, heeft het volk; wie het volk heeft, stuurt uiteindelijk de bonden. Het Pareto-omkeringsmechanisme dat Editie 6 en Nova Democratia in beweging brengt zonder één wet te wijzigen.</w:t>
      </w:r>
    </w:p>
    <w:p>
      <w:pPr>
        <w:pStyle w:val="BodyText"/>
      </w:pPr>
      <w:r>
        <w:rPr>
          <w:b/>
          <w:bCs/>
        </w:rPr>
        <w:t xml:space="preserve">De Pareto-omkering</w:t>
      </w:r>
    </w:p>
    <w:p>
      <w:pPr>
        <w:pStyle w:val="BodyText"/>
      </w:pPr>
      <w:r>
        <w:t xml:space="preserve">In de heatmap van Editie 6, aflevering 9, staan de vakbonden met een gewichtig remgewicht in fase 2 tot en met fase 5 — precies de fases waarin Nova Democratia zou worden geïmplementeerd. De gangbare conclusie is: onderhandel met de bonden, sluit akkoorden, geef concessies. Het is een wedstrijd die het ontwerp niet kan winnen, omdat conservatie de bestaansreden van de bond is. Een vakbond die instemt met fundamentele bestuursombouw verliest haar functie en daarmee haar inkomsten — geen enkele organisatie tekent vrijwillig haar eigen verkleining. Wie deze weg loopt, krijgt twintig jaar onderhandeling en geen ombouw.</w:t>
      </w:r>
    </w:p>
    <w:p>
      <w:pPr>
        <w:pStyle w:val="BodyText"/>
      </w:pPr>
      <w:r>
        <w:t xml:space="preserve">Maar er is een tweede weg, en die ligt voor het oprapen in de structuur van de bond zelf. Een vakbond bestaat bij de gratie van haar leden. Leden zijn werknemers. Werknemers zijn burgers. Burgers worden bewogen door wat zij dagelijks lezen, horen en zien. Wie de pers heeft, heeft de aandacht van de burger; wie de burger overtuigt dat hij door zijn eigen bond wordt benadeeld, ziet de bond binnen één tot twee jaar van koers veranderen — of leden verliezen. Geen enkele bond overleeft een langdurige periode van ledenuitstroom. Het is de enige hefboom waarmee een conservatieve organisatie zichzelf kan corrigeren zonder dat haar bestuur dat wil. Dit is geen cynisme. Het is hoe democratie technisch werkt zodra een organisatie tussen burger en besluit komt te staan: de burger blijft soeverein, en als de organisatie zich verzet, kan de burger de organisatie passeren.</w:t>
      </w:r>
    </w:p>
    <w:p>
      <w:pPr>
        <w:pStyle w:val="BodyText"/>
      </w:pPr>
      <w:r>
        <w:rPr>
          <w:b/>
          <w:bCs/>
        </w:rPr>
        <w:t xml:space="preserve">Wat de pers in de praktijk doet</w:t>
      </w:r>
    </w:p>
    <w:p>
      <w:pPr>
        <w:pStyle w:val="BodyText"/>
      </w:pPr>
      <w:r>
        <w:t xml:space="preserve">De pers heeft drie hefbomen, niet één. Eerste hefboom: agendazetting. Welke onderwerpen krijgen wekelijks aandacht, welke verdwijnen uit beeld. Wanneer Giant Juncao, BiCRS en de plastic-opslagas vier weken lang in de Volkskrant, NRC, FAZ en Le Monde verschijnen — niet als opiniestukken maar als reportages — kantelt de publieke opinie binnen twee maanden. Wanneer diezelfde onderwerpen drie jaar lang onbespreekbaar blijven (zoals nu het geval is), bestaat het idee niet. De pers maakt door selectie wat wel en wat niet bestaat in het publieke geheugen.</w:t>
      </w:r>
    </w:p>
    <w:p>
      <w:pPr>
        <w:pStyle w:val="BodyText"/>
      </w:pPr>
      <w:r>
        <w:t xml:space="preserve">Tweede hefboom: framing. Wordt huisvuilverbranding gepresenteerd als</w:t>
      </w:r>
      <w:r>
        <w:t xml:space="preserve"> </w:t>
      </w:r>
      <w:r>
        <w:t xml:space="preserve">“</w:t>
      </w:r>
      <w:r>
        <w:t xml:space="preserve">duurzame energievoorziening</w:t>
      </w:r>
      <w:r>
        <w:t xml:space="preserve">”</w:t>
      </w:r>
      <w:r>
        <w:t xml:space="preserve"> </w:t>
      </w:r>
      <w:r>
        <w:t xml:space="preserve">of als</w:t>
      </w:r>
      <w:r>
        <w:t xml:space="preserve"> </w:t>
      </w:r>
      <w:r>
        <w:t xml:space="preserve">“</w:t>
      </w:r>
      <w:r>
        <w:t xml:space="preserve">de stroomopwekking met de hoogste verborgen kosten van Europa</w:t>
      </w:r>
      <w:r>
        <w:t xml:space="preserve">”</w:t>
      </w:r>
      <w:r>
        <w:t xml:space="preserve">? Wordt Giant Juncao gepresenteerd als</w:t>
      </w:r>
      <w:r>
        <w:t xml:space="preserve"> </w:t>
      </w:r>
      <w:r>
        <w:t xml:space="preserve">“</w:t>
      </w:r>
      <w:r>
        <w:t xml:space="preserve">Chinees experiment in Afrika</w:t>
      </w:r>
      <w:r>
        <w:t xml:space="preserve">”</w:t>
      </w:r>
      <w:r>
        <w:t xml:space="preserve"> </w:t>
      </w:r>
      <w:r>
        <w:t xml:space="preserve">of als</w:t>
      </w:r>
      <w:r>
        <w:t xml:space="preserve"> </w:t>
      </w:r>
      <w:r>
        <w:t xml:space="preserve">“</w:t>
      </w:r>
      <w:r>
        <w:t xml:space="preserve">Europese kans op koolstof-soevereiniteit</w:t>
      </w:r>
      <w:r>
        <w:t xml:space="preserve">”</w:t>
      </w:r>
      <w:r>
        <w:t xml:space="preserve">? Beide framings zijn feitelijk verdedigbaar; alleen de tweede leidt tot beweging. De pers kiest welke framing zij gebruikt — en die keuze bepaalt of het publiek met of tegen het ontwerp staat. Wie de framing levert, wint binnen één jaar de hoofden van de burgers, en daarmee de stemmen op de algemene ledenvergaderingen van de bonden.</w:t>
      </w:r>
    </w:p>
    <w:p>
      <w:pPr>
        <w:pStyle w:val="BodyText"/>
      </w:pPr>
      <w:r>
        <w:t xml:space="preserve">Derde hefboom: persoonsherkenning. Wanneer de Nederlandse FNV-voorzitter wordt afgebeeld als het remgewicht die de Rotterdamse pilot tegenhoudt, en de Bondsraad-voorvechter als de pragmatische uitvoerder die voor werkgelegenheid zorgt, krijgt elke gewone FNV-Bond-Vervoer-lid op zijn werkvloer een gesprek over wie er nu eigenlijk voor zijn baan opkomt. Dat gesprek is wat de bond corrigeert — niet de wet, niet het cao-overleg, niet het politieke debat in Den Haag. Het gesprek aan het koffieautomaat van een havenarbeider, gevoed door tien artikelen in zijn dagblad, is wat een bond binnen twee jaar van koers laat veranderen.</w:t>
      </w:r>
    </w:p>
    <w:p>
      <w:pPr>
        <w:pStyle w:val="BodyText"/>
      </w:pPr>
      <w:r>
        <w:rPr>
          <w:b/>
          <w:bCs/>
        </w:rPr>
        <w:t xml:space="preserve">Waarom dit geen manipulatie is</w:t>
      </w:r>
    </w:p>
    <w:p>
      <w:pPr>
        <w:pStyle w:val="BodyText"/>
      </w:pPr>
      <w:r>
        <w:t xml:space="preserve">Een mogelijke tegenwerping: dit klinkt als manipulatie van de publieke opinie door selectieve berichtgeving. Het is het tegenovergestelde. In de huidige situatie maakt de pers Giant Juncao, BiCRS en plastic-opslag in dagbouwen onbespreekbaar door ze stelselmatig niet te benoemen. Dat is óók een keuze — een keuze die het belang van de bestaande industrie (afvalverbranding, recycling, fossiele brandstof) dient zonder dat ze hardop wordt verdedigd. Wat hier wordt voorgesteld is geen nieuwe manipulatie maar het wegnemen van de bestaande. Geef de burger toegang tot de eerste-orde-feiten — productiviteit van Juncao, CO₂-uitstoot van AVI’s, geologische stabiliteit van plastic in dagbouwen — en laat hem zelf concluderen. Hij zal zijn bond corrigeren, of zijn bond verlaten. In beide gevallen is het remgewicht opgelost.</w:t>
      </w:r>
    </w:p>
    <w:p>
      <w:pPr>
        <w:pStyle w:val="BodyText"/>
      </w:pPr>
      <w:r>
        <w:rPr>
          <w:b/>
          <w:bCs/>
        </w:rPr>
        <w:t xml:space="preserve">Het mechanisme stap voor stap</w:t>
      </w:r>
    </w:p>
    <w:p>
      <w:pPr>
        <w:pStyle w:val="Compact"/>
        <w:numPr>
          <w:ilvl w:val="0"/>
          <w:numId w:val="1001"/>
        </w:numPr>
      </w:pPr>
      <w:r>
        <w:t xml:space="preserve">Stap 1: Een Europese economische bondsraad publiceert maandelijks zes pagina’s met gemeten feiten over de twee hefbomen — productiviteit, uitstoot, opslagstabiliteit, geografische voorsprong concurrenten — in vorm en taal die door brede pers kan worden overgenomen.</w:t>
      </w:r>
    </w:p>
    <w:p>
      <w:pPr>
        <w:pStyle w:val="Compact"/>
        <w:numPr>
          <w:ilvl w:val="0"/>
          <w:numId w:val="1001"/>
        </w:numPr>
      </w:pPr>
      <w:r>
        <w:t xml:space="preserve">Stap 2: Drie tot vijf serieuze Europese kranten nemen de cijfers serieus en publiceren wekelijks reportages, niet opiniestukken.</w:t>
      </w:r>
    </w:p>
    <w:p>
      <w:pPr>
        <w:pStyle w:val="Compact"/>
        <w:numPr>
          <w:ilvl w:val="0"/>
          <w:numId w:val="1001"/>
        </w:numPr>
      </w:pPr>
      <w:r>
        <w:t xml:space="preserve">Stap 3: Burgers lezen over Giant Juncao en plastic-opslag in dagbouwen. Binnen drie maanden weten zij dat er een alternatief is voor afvalverbranding en dat hun bestaande regelgeving deze alternatieven blokkeert.</w:t>
      </w:r>
    </w:p>
    <w:p>
      <w:pPr>
        <w:pStyle w:val="Compact"/>
        <w:numPr>
          <w:ilvl w:val="0"/>
          <w:numId w:val="1001"/>
        </w:numPr>
      </w:pPr>
      <w:r>
        <w:t xml:space="preserve">Stap 4: Algemene ledenvergaderingen van vakbonden krijgen agendapunten over de positie van hun bond ten aanzien van de twee hefbomen. Eerst marginaal, na een jaar standaard.</w:t>
      </w:r>
    </w:p>
    <w:p>
      <w:pPr>
        <w:pStyle w:val="Compact"/>
        <w:numPr>
          <w:ilvl w:val="0"/>
          <w:numId w:val="1001"/>
        </w:numPr>
      </w:pPr>
      <w:r>
        <w:t xml:space="preserve">Stap 5: Vakbonden die volharden in blokkade verliezen leden — vooral jongere leden die de werkgelegenheid in nieuwe industrieën zien. Vakbonden die meebewegen, groeien.</w:t>
      </w:r>
    </w:p>
    <w:p>
      <w:pPr>
        <w:pStyle w:val="Compact"/>
        <w:numPr>
          <w:ilvl w:val="0"/>
          <w:numId w:val="1001"/>
        </w:numPr>
      </w:pPr>
      <w:r>
        <w:t xml:space="preserve">Stap 6: Binnen twee tot drie jaar is het blokkade-effect van de bonden verdwenen, niet door wetgeving maar door zelfcorrectie.</w:t>
      </w:r>
    </w:p>
    <w:p>
      <w:pPr>
        <w:pStyle w:val="FirstParagraph"/>
      </w:pPr>
      <w:r>
        <w:rPr>
          <w:b/>
          <w:bCs/>
        </w:rPr>
        <w:t xml:space="preserve">De rol van de kennislaag</w:t>
      </w:r>
    </w:p>
    <w:p>
      <w:pPr>
        <w:pStyle w:val="BodyText"/>
      </w:pPr>
      <w:r>
        <w:t xml:space="preserve">Aflevering 11 van Editie 6 introduceerde de kennislaag als bondgenoot — universiteiten, planbureaus, adviescolleges, onderzoeksinstituten. Hier komt zij in actie als leverancier van de feiten die de pers verspreidt. Wanneer TNO, Fraunhofer, ETH Zürich en het CPB gezamenlijke rapporten publiceren over de productiviteit van Giant Juncao, de CO₂-balans van plastic-opslag in dagbouwen, en de werkelijke uitstoot per kWh van AVI’s, krijgt de pers materiaal dat geen redacteur kan negeren. De kennislaag levert de eerste-orde-meting; de pers levert de distributie; de burger levert de stem; de bond corrigeert zichzelf.</w:t>
      </w:r>
    </w:p>
    <w:p>
      <w:pPr>
        <w:pStyle w:val="BodyText"/>
      </w:pPr>
      <w:r>
        <w:rPr>
          <w:b/>
          <w:bCs/>
        </w:rPr>
        <w:t xml:space="preserve">De positieve omkering — als de taart groeit</w:t>
      </w:r>
    </w:p>
    <w:p>
      <w:pPr>
        <w:pStyle w:val="BodyText"/>
      </w:pPr>
      <w:r>
        <w:t xml:space="preserve">Wat hierboven is beschreven is het drukmechanisme: feiten leveren, framing kiezen, persoonsherkenning vestigen, en de bonden corrigeren zichzelf of verliezen leden. Het werkt, maar het werkt tegen weerstand in. Er is een tweede, krachtigere mechanisme dat in aflevering 9 wordt uitgewerkt: wanneer de twee hefbomen op industriële schaal draaien, is er voor iedereen meer welvaart te verdelen — tientallen miljarden euro nieuwe industriële omzet voor Europa, honderden miljarden directe investeringen voor Zuid-Amerika en Afrika, structurele besparing op klimaatschade en sancties. In een groeiende taart hoeft niemand iets op te geven. De bonden krijgen meer te onderhandelen, niet minder; gemeenten krijgen meer belastingsinkomsten; werknemers krijgen hogere lonen en betere pensioenen. De grondwettelijke leerfunctie van de NPO, ARD/ZDF, BBC en Radio France is het kanaal waarlangs deze gedeelde welvaartsgroei aan de bevolking kan worden uitgelegd — niet als propaganda maar als de uitvoering van een al bestaand mediamandaat. Aflevering 9 werkt dit volledig uit.</w:t>
      </w:r>
    </w:p>
    <w:p>
      <w:pPr>
        <w:pStyle w:val="BodyText"/>
      </w:pPr>
      <w:r>
        <w:rPr>
          <w:b/>
          <w:bCs/>
        </w:rPr>
        <w:t xml:space="preserve">Wie dit niet wil zien</w:t>
      </w:r>
    </w:p>
    <w:p>
      <w:pPr>
        <w:pStyle w:val="BodyText"/>
      </w:pPr>
      <w:r>
        <w:t xml:space="preserve">Dit mechanisme is niet onbekend. Iedereen in het Europese bestuur kent het. Maar het wordt vermeden om dezelfde reden waarom de twee hefbomen worden vermeden: het zou de bestaande verhoudingen ontwrichten. Recycling-industrie verliest subsidies. Afvalverbranders verliezen vergunningen. Vakbonden verliezen identiteit. Politieke partijen verliezen hun standpunten. Wie een keten van dit type zelfcorrectie in gang zet, oogst binnen vijf jaar een onherkenbaar landschap. Dat is precies het doel. De ombouw die Nova Democratia voorstelt vereist dat het Europese landschap onherkenbaar wordt — niet alleen institutioneel, maar industrieel, syndicaal en mediagewijs. De pers is daarin geen wapen maar het kanaal waardoor de feitelijke werkelijkheid de derde-orde-procedures vermag te dwingen.</w:t>
      </w:r>
    </w:p>
    <w:p>
      <w:pPr>
        <w:pStyle w:val="BodyText"/>
      </w:pPr>
      <w:r>
        <w:rPr>
          <w:i/>
          <w:iCs/>
        </w:rPr>
        <w:t xml:space="preserve">Deze aflevering wordt nog uitgewerkt met concrete persstrategie per pilot, lijst van Europese kranten en redacteurs, en het draaiboek van de eerste twaalf publicaties.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2026-06-03T08:10:29Z</dcterms:created>
  <dcterms:modified xsi:type="dcterms:W3CDTF">2026-06-03T08:10:29Z</dcterms:modified>
</cp:coreProperties>
</file>

<file path=docProps/custom.xml><?xml version="1.0" encoding="utf-8"?>
<Properties xmlns="http://schemas.openxmlformats.org/officeDocument/2006/custom-properties" xmlns:vt="http://schemas.openxmlformats.org/officeDocument/2006/docPropsVTypes"/>
</file>