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黑体" w:hAnsi="黑体" w:eastAsia="黑体"/>
          <w:b w:val="0"/>
          <w:color w:val="000000"/>
          <w:sz w:val="32"/>
        </w:rPr>
        <w:t>发行人声明</w:t>
      </w:r>
    </w:p>
    <w:p>
      <w:pPr>
        <w:pStyle w:val="Heading1"/>
        <w:spacing w:line="360" w:lineRule="auto"/>
        <w:jc w:val="center"/>
      </w:pPr>
      <w:r>
        <w:rPr>
          <w:rFonts w:ascii="黑体" w:hAnsi="黑体" w:eastAsia="黑体"/>
          <w:b w:val="0"/>
          <w:color w:val="000000"/>
          <w:sz w:val="32"/>
        </w:rPr>
        <w:t>本次发行概况</w:t>
      </w:r>
    </w:p>
    <w:p>
      <w:pPr>
        <w:pStyle w:val="Heading1"/>
        <w:spacing w:line="360" w:lineRule="auto"/>
        <w:jc w:val="center"/>
      </w:pPr>
      <w:r>
        <w:rPr>
          <w:rFonts w:ascii="黑体" w:hAnsi="黑体" w:eastAsia="黑体"/>
          <w:b w:val="0"/>
          <w:color w:val="000000"/>
          <w:sz w:val="32"/>
        </w:rPr>
        <w:t>重大事项提示</w:t>
      </w:r>
    </w:p>
    <w:p>
      <w:pPr>
        <w:pStyle w:val="Heading2"/>
        <w:spacing w:line="360" w:lineRule="auto"/>
      </w:pPr>
      <w:r>
        <w:rPr>
          <w:rFonts w:ascii="黑体" w:hAnsi="黑体" w:eastAsia="黑体"/>
          <w:b w:val="0"/>
          <w:color w:val="000000"/>
          <w:sz w:val="28"/>
        </w:rPr>
        <w:t>一、关于代理业务的提示</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二、本公司特别提醒投资者注意的风险因素</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三、财务报告截止日后主要财务信息及经营情况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四、本次发行相关主体作出的重要承诺</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目录</w:t>
      </w:r>
    </w:p>
    <w:p>
      <w:pPr>
        <w:pStyle w:val="Heading1"/>
        <w:spacing w:line="360" w:lineRule="auto"/>
        <w:jc w:val="center"/>
      </w:pPr>
      <w:r>
        <w:rPr>
          <w:rFonts w:ascii="黑体" w:hAnsi="黑体" w:eastAsia="黑体"/>
          <w:b w:val="0"/>
          <w:color w:val="000000"/>
          <w:sz w:val="32"/>
        </w:rPr>
        <w:t>第一节 释义</w:t>
      </w:r>
    </w:p>
    <w:p>
      <w:pPr>
        <w:pStyle w:val="Heading2"/>
        <w:spacing w:line="360" w:lineRule="auto"/>
      </w:pPr>
      <w:r>
        <w:rPr>
          <w:rFonts w:ascii="黑体" w:hAnsi="黑体" w:eastAsia="黑体"/>
          <w:b w:val="0"/>
          <w:color w:val="000000"/>
          <w:sz w:val="28"/>
        </w:rPr>
        <w:t>一、普通术语</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二、专业术语</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第二节 概览</w:t>
      </w:r>
    </w:p>
    <w:p>
      <w:pPr>
        <w:pStyle w:val="Heading2"/>
        <w:spacing w:line="360" w:lineRule="auto"/>
      </w:pPr>
      <w:r>
        <w:rPr>
          <w:rFonts w:ascii="黑体" w:hAnsi="黑体" w:eastAsia="黑体"/>
          <w:b w:val="0"/>
          <w:color w:val="000000"/>
          <w:sz w:val="28"/>
        </w:rPr>
        <w:t>一、发行人及本次发行的中介机构基本情况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二、本次发行概况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三、主要财务数据和财务指标</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四、发行人主营业务情况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五、发行人技术先进性、模式创新性、研发技术产业化情况以及未来发展战略．</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六、上市标准的选择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七、公司治理特殊安排</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八、募集资金用途</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第三节 本次发行概况</w:t>
      </w:r>
    </w:p>
    <w:p>
      <w:pPr>
        <w:pStyle w:val="Heading2"/>
        <w:spacing w:line="360" w:lineRule="auto"/>
      </w:pPr>
      <w:r>
        <w:rPr>
          <w:rFonts w:ascii="黑体" w:hAnsi="黑体" w:eastAsia="黑体"/>
          <w:b w:val="0"/>
          <w:color w:val="000000"/>
          <w:sz w:val="28"/>
        </w:rPr>
        <w:t>一、本次发行的基本情况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二、本次发行股票的有关机构</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三、发行人与本次发行有关中介机构及人员的权益关系</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四、有关本次发行上市的重要日期</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五、本次战略配售情况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六、保荐人相关子公司参与战略配售情况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七、发行人高管、员工参与战略配售情况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八、超额配售选择权的实施方案</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第四节 风险因素</w:t>
      </w:r>
    </w:p>
    <w:p>
      <w:pPr>
        <w:pStyle w:val="Heading2"/>
        <w:spacing w:line="360" w:lineRule="auto"/>
      </w:pPr>
      <w:r>
        <w:rPr>
          <w:rFonts w:ascii="黑体" w:hAnsi="黑体" w:eastAsia="黑体"/>
          <w:b w:val="0"/>
          <w:color w:val="000000"/>
          <w:sz w:val="28"/>
        </w:rPr>
        <w:t>一、技术风险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二、经营风险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三、内控及管理风险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四、财务风险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五、法律风险</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六、发行失败的风险</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第五节 发行人基本情况</w:t>
      </w:r>
    </w:p>
    <w:p>
      <w:pPr>
        <w:pStyle w:val="Heading2"/>
        <w:spacing w:line="360" w:lineRule="auto"/>
      </w:pPr>
      <w:r>
        <w:rPr>
          <w:rFonts w:ascii="黑体" w:hAnsi="黑体" w:eastAsia="黑体"/>
          <w:b w:val="0"/>
          <w:color w:val="000000"/>
          <w:sz w:val="28"/>
        </w:rPr>
        <w:t>一、发行人基本情况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二、发行人设立情况和报告期内股本股东变化情况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三、发行人的股权结构</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四、发行人控股子公司、参股公司和分支机构的基本情况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五、持有发行人％以上股份的主要股东及实际控制人的基本情况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六、发行人股本情况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七、董事、监事、高级管理人员及核心技术人员简介</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八、董事、监事、高级管理人员及核心技术人员的兼职情况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九、董事、监事、高级管理人员及核心技术人员相互之间存在的亲属关系</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十、董事、监事、高级管理人员及核心技术人员与公司签订的有关协议及履行情况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十一、董事、监事、高级管理人员及核心技术人员最近两年的变动情况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十二、董事、监事、高级管理人员及核心技术人员的对外投资情况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十三、董事、监事、高级管理人员及核心技术人员及其近亲属直接或间接持有发行人股份的情况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十四、董事、监事、高级管理人员及核心技术人员的薪酬情况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十五、本次公开发行申报前已经制定或实施的股权激励及相关安排</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十六、发行人历史上实行的虚拟股／受限股激励计划</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十七、发行人员工及其社会保障情况</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第六节 业务和技术</w:t>
      </w:r>
    </w:p>
    <w:p>
      <w:pPr>
        <w:pStyle w:val="Heading2"/>
        <w:spacing w:line="360" w:lineRule="auto"/>
      </w:pPr>
      <w:r>
        <w:rPr>
          <w:rFonts w:ascii="黑体" w:hAnsi="黑体" w:eastAsia="黑体"/>
          <w:b w:val="0"/>
          <w:color w:val="000000"/>
          <w:sz w:val="28"/>
        </w:rPr>
        <w:t>一、发行人主营业务、主要产品的情况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二、发行人所处行业的基本情况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 xml:space="preserve">三、发行人的竞争定位 </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四、发行人销售及主要客户情况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五、发行人采购情况和主要供应商</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六、发行人主要固定资产及无形资产</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七、发行人的核心技术和研发水平</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八、发行人境外经营情况</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第七节 公司治理与独立性</w:t>
      </w:r>
    </w:p>
    <w:p>
      <w:pPr>
        <w:pStyle w:val="Heading2"/>
        <w:spacing w:line="360" w:lineRule="auto"/>
      </w:pPr>
      <w:r>
        <w:rPr>
          <w:rFonts w:ascii="黑体" w:hAnsi="黑体" w:eastAsia="黑体"/>
          <w:b w:val="0"/>
          <w:color w:val="000000"/>
          <w:sz w:val="28"/>
        </w:rPr>
        <w:t>一、股东大会、董事会、监事会、独立董事、董事会秘书以及董事会各专门委员会等机构运行及履职情况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二、公司的特别表决权股份或类似安排</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三、协议控制架构</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四、内部控制制度管理层评估意见及申报会计师鉴证意见</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五、公司报告期内违法违规行为情况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六、公司报告期内资金占用和对外担保情况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七、发行人的独立性</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八、同业竞争</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九、关联方和关联交易</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十、关联方的变化情况</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第八节 财务会计信息与管理层分析</w:t>
      </w:r>
    </w:p>
    <w:p>
      <w:pPr>
        <w:pStyle w:val="Heading2"/>
        <w:spacing w:line="360" w:lineRule="auto"/>
      </w:pPr>
      <w:r>
        <w:rPr>
          <w:rFonts w:ascii="黑体" w:hAnsi="黑体" w:eastAsia="黑体"/>
          <w:b w:val="0"/>
          <w:color w:val="000000"/>
          <w:sz w:val="28"/>
        </w:rPr>
        <w:t>一、发行人财务报表</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二、会计师事务所的审计意见</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三、对发行人未来盈利（经营）能力或财务状况可能产生影响的主要因素</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四、对发行人具有核心意义、或其变动对业绩变动具有较强预示作用的财务或非财务指标分析</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五、分部信息</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六、报告期内采用的主要会计政策和会计估计</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七、合并报表范围及变化情况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八、经申报会计师核验的非经常性损益</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九、主要税收政策、缴纳的主要税种及税率</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十、报告期内发行人主要财务指标</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十一、经营成果分</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十二、财务状况分析</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十三、报告期内股利分配情况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十四、现金流量分析</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十五、持续经营能力分析</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十六、资产负债表日后事项、或有事项及其他重要事项</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第九节 募集资金运用与公司战略规划</w:t>
      </w:r>
    </w:p>
    <w:p>
      <w:pPr>
        <w:pStyle w:val="Heading2"/>
        <w:spacing w:line="360" w:lineRule="auto"/>
      </w:pPr>
      <w:r>
        <w:rPr>
          <w:rFonts w:ascii="黑体" w:hAnsi="黑体" w:eastAsia="黑体"/>
          <w:b w:val="0"/>
          <w:color w:val="000000"/>
          <w:sz w:val="28"/>
        </w:rPr>
        <w:t>一、募集资金使用概况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二、募集资金使用管理制度及募集资金重点投向科技创新领域的具体安排</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三、募集资金投资项目具体情况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四、公司战略规划</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第十节 投资者保护</w:t>
      </w:r>
    </w:p>
    <w:p>
      <w:pPr>
        <w:pStyle w:val="Heading2"/>
        <w:spacing w:line="360" w:lineRule="auto"/>
      </w:pPr>
      <w:r>
        <w:rPr>
          <w:rFonts w:ascii="黑体" w:hAnsi="黑体" w:eastAsia="黑体"/>
          <w:b w:val="0"/>
          <w:color w:val="000000"/>
          <w:sz w:val="28"/>
        </w:rPr>
        <w:t>一、投资者权益保护情况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二、股利分配政策和决策程序</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三、股东投票机制的建立</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四、发行人、发行人股东、发行人董事、监事、高级管理人员、核心技术人员及本次发行的中介机构作出的重要承诺、履行情况及约束措施</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第十一节 其他重要事项</w:t>
      </w:r>
    </w:p>
    <w:p>
      <w:pPr>
        <w:pStyle w:val="Heading2"/>
        <w:spacing w:line="360" w:lineRule="auto"/>
      </w:pPr>
      <w:r>
        <w:rPr>
          <w:rFonts w:ascii="黑体" w:hAnsi="黑体" w:eastAsia="黑体"/>
          <w:b w:val="0"/>
          <w:color w:val="000000"/>
          <w:sz w:val="28"/>
        </w:rPr>
        <w:t>一、重大合同</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二、对外担保情况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三、重大诉讼或仲裁情况</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 xml:space="preserve">四、控股股东、实际控制人报告期内的重大违法行为 </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第十二节 董事、监事、高级管理人员及有关中介机构声明</w:t>
      </w:r>
    </w:p>
    <w:p>
      <w:pPr>
        <w:pStyle w:val="Heading2"/>
        <w:spacing w:line="360" w:lineRule="auto"/>
      </w:pPr>
      <w:r>
        <w:rPr>
          <w:rFonts w:ascii="黑体" w:hAnsi="黑体" w:eastAsia="黑体"/>
          <w:b w:val="0"/>
          <w:color w:val="000000"/>
          <w:sz w:val="28"/>
        </w:rPr>
        <w:t>一、发行人全体董事、监事、高级管理人员声明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二、发行人控股股东、实际控制人声明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三、保荐人（主承销商）声明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四、发行人律师声明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五、审计机构声明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六、承担资产评估业务的评估机构声明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七、验资机构声明</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八、验资复核机构声明</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第十三节 附件</w:t>
      </w:r>
    </w:p>
    <w:p>
      <w:pPr>
        <w:pStyle w:val="Heading2"/>
        <w:spacing w:line="360" w:lineRule="auto"/>
      </w:pPr>
      <w:r>
        <w:rPr>
          <w:rFonts w:ascii="黑体" w:hAnsi="黑体" w:eastAsia="黑体"/>
          <w:b w:val="0"/>
          <w:color w:val="000000"/>
          <w:sz w:val="28"/>
        </w:rPr>
        <w:t>一、备查文件</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二、查阅地点</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三、查阅时间</w:t>
      </w:r>
    </w:p>
    <w:p>
      <w:pPr>
        <w:spacing w:line="360" w:lineRule="auto"/>
      </w:pPr>
      <w:r>
        <w:rPr>
          <w:rFonts w:ascii="宋体" w:hAnsi="宋体" w:eastAsia="宋体"/>
          <w:b w:val="0"/>
          <w:color w:val="000000"/>
          <w:sz w:val="24"/>
        </w:rPr>
        <w:t>正文样本</w:t>
        <w:br/>
      </w:r>
    </w:p>
    <w:p>
      <w:pPr>
        <w:pStyle w:val="Heading2"/>
        <w:spacing w:line="360" w:lineRule="auto"/>
      </w:pPr>
      <w:r>
        <w:rPr>
          <w:rFonts w:ascii="黑体" w:hAnsi="黑体" w:eastAsia="黑体"/>
          <w:b w:val="0"/>
          <w:color w:val="000000"/>
          <w:sz w:val="28"/>
        </w:rPr>
        <w:t>四、查阅网址</w:t>
      </w:r>
    </w:p>
    <w:p>
      <w:pPr>
        <w:spacing w:line="360" w:lineRule="auto"/>
      </w:pPr>
      <w:r>
        <w:rPr>
          <w:rFonts w:ascii="宋体" w:hAnsi="宋体" w:eastAsia="宋体"/>
          <w:b w:val="0"/>
          <w:color w:val="000000"/>
          <w:sz w:val="24"/>
        </w:rPr>
        <w:t>正文样本</w:t>
        <w:br/>
      </w:r>
    </w:p>
    <w:p>
      <w:pPr>
        <w:pStyle w:val="Heading1"/>
        <w:spacing w:line="360" w:lineRule="auto"/>
        <w:jc w:val="center"/>
      </w:pPr>
      <w:r>
        <w:rPr>
          <w:rFonts w:ascii="黑体" w:hAnsi="黑体" w:eastAsia="黑体"/>
          <w:b w:val="0"/>
          <w:color w:val="000000"/>
          <w:sz w:val="32"/>
        </w:rPr>
        <w:t>附表一：商标</w:t>
      </w:r>
    </w:p>
    <w:p>
      <w:pPr>
        <w:pStyle w:val="Heading1"/>
        <w:spacing w:line="360" w:lineRule="auto"/>
        <w:jc w:val="center"/>
      </w:pPr>
      <w:r>
        <w:rPr>
          <w:rFonts w:ascii="黑体" w:hAnsi="黑体" w:eastAsia="黑体"/>
          <w:b w:val="0"/>
          <w:color w:val="000000"/>
          <w:sz w:val="32"/>
        </w:rPr>
        <w:t>附表二：专利</w:t>
      </w:r>
    </w:p>
    <w:p>
      <w:pPr>
        <w:pStyle w:val="Heading1"/>
        <w:spacing w:line="360" w:lineRule="auto"/>
        <w:jc w:val="center"/>
      </w:pPr>
      <w:r>
        <w:rPr>
          <w:rFonts w:ascii="黑体" w:hAnsi="黑体" w:eastAsia="黑体"/>
          <w:b w:val="0"/>
          <w:color w:val="000000"/>
          <w:sz w:val="32"/>
        </w:rPr>
        <w:t>附表三：域名</w:t>
      </w:r>
    </w:p>
    <w:p>
      <w:pPr>
        <w:pStyle w:val="Heading1"/>
        <w:spacing w:line="360" w:lineRule="auto"/>
        <w:jc w:val="center"/>
      </w:pPr>
      <w:r>
        <w:rPr>
          <w:rFonts w:ascii="黑体" w:hAnsi="黑体" w:eastAsia="黑体"/>
          <w:b w:val="0"/>
          <w:color w:val="000000"/>
          <w:sz w:val="32"/>
        </w:rPr>
        <w:t>附表四：计算机软件著作权</w:t>
      </w:r>
    </w:p>
    <w:p>
      <w:pPr>
        <w:pStyle w:val="Heading1"/>
        <w:spacing w:line="360" w:lineRule="auto"/>
        <w:jc w:val="center"/>
      </w:pPr>
      <w:r>
        <w:rPr>
          <w:rFonts w:ascii="黑体" w:hAnsi="黑体" w:eastAsia="黑体"/>
          <w:b w:val="0"/>
          <w:color w:val="000000"/>
          <w:sz w:val="32"/>
        </w:rPr>
        <w:t>附表五：作品著作权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