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after="240"/>
      </w:pPr>
      <w:r>
        <w:rPr>
          <w:b/>
          <w:sz w:val="34"/>
        </w:rPr>
        <w:t>Дидактический коллапс в синтетических образовательных объяснениях: измерение и дефектно-бюджетное рециклирование</w:t>
      </w:r>
    </w:p>
    <w:p/>
    <w:p>
      <w:pPr>
        <w:spacing w:after="80"/>
      </w:pPr>
      <w:r>
        <w:rPr>
          <w:sz w:val="24"/>
        </w:rPr>
        <w:t>Автор: [Имя автора]</w:t>
      </w:r>
    </w:p>
    <w:p>
      <w:pPr>
        <w:spacing w:after="80"/>
      </w:pPr>
      <w:r>
        <w:rPr>
          <w:sz w:val="24"/>
        </w:rPr>
        <w:t>Аффилиация: [Аффилиация]</w:t>
      </w:r>
    </w:p>
    <w:p>
      <w:pPr>
        <w:spacing w:after="80"/>
      </w:pPr>
      <w:r>
        <w:rPr>
          <w:sz w:val="24"/>
        </w:rPr>
        <w:t>Контакт: [email]</w:t>
      </w:r>
    </w:p>
    <w:p>
      <w:pPr>
        <w:spacing w:after="80"/>
      </w:pPr>
      <w:r>
        <w:rPr>
          <w:sz w:val="24"/>
        </w:rPr>
        <w:t>Дата: 1 мая 2026 г.</w:t>
      </w:r>
    </w:p>
    <w:p>
      <w:pPr>
        <w:spacing w:after="80"/>
      </w:pPr>
      <w:r>
        <w:rPr>
          <w:sz w:val="24"/>
        </w:rPr>
        <w:t>Тип рукописи: Исследовательская статья</w:t>
      </w:r>
    </w:p>
    <w:p>
      <w:pPr>
        <w:spacing w:after="80"/>
      </w:pPr>
      <w:r>
        <w:rPr>
          <w:sz w:val="24"/>
        </w:rPr>
        <w:t>Краткое название для колонтитула: Дидактический коллапс и дефектно-бюджетное рециклирование</w:t>
      </w:r>
    </w:p>
    <w:p/>
    <w:p>
      <w:pPr>
        <w:spacing w:before="220" w:after="120"/>
      </w:pPr>
      <w:r>
        <w:rPr>
          <w:b/>
          <w:sz w:val="30"/>
        </w:rPr>
        <w:t>Аннотация</w:t>
      </w:r>
    </w:p>
    <w:p>
      <w:pPr>
        <w:spacing w:after="80"/>
      </w:pPr>
      <w:r>
        <w:rPr>
          <w:sz w:val="24"/>
        </w:rPr>
        <w:t>Актуальность. Повторное использование синтетических образовательных объяснений позволяет быстро расширять обучающие наборы данных, но создаёт риск накопления педагогически небезопасных примеров. В этой работе такой риск рассматривается как дидактический коллапс — распространение педагогических дефектов, не сводимое к обязательному монотонному снижению всех метрик.</w:t>
      </w:r>
    </w:p>
    <w:p/>
    <w:p>
      <w:pPr>
        <w:spacing w:after="80"/>
      </w:pPr>
      <w:r>
        <w:rPr>
          <w:sz w:val="24"/>
        </w:rPr>
        <w:t>Цель. Построить воспроизводимую рамку измерения дидактического коллапса и проверить простой метод контроля дефектов без внешнего учителя.</w:t>
      </w:r>
    </w:p>
    <w:p/>
    <w:p>
      <w:pPr>
        <w:spacing w:after="80"/>
      </w:pPr>
      <w:r>
        <w:rPr>
          <w:sz w:val="24"/>
        </w:rPr>
        <w:t>Материалы и методы. Эксперименты выполнены для модели qwen2.5:0.5b в режиме inference_recycling_only на поколениях Gen0–Gen2. Основной метод — дефектно-бюджетное рециклирование (DBR), ограничивающее распространение ошибок разбора, скрытых педагогических ошибок и других дефектов при сохранении размера выборки. Дополнительно выполнен контрастивный анализ CSR на ответах той же модели.</w:t>
      </w:r>
    </w:p>
    <w:p/>
    <w:p>
      <w:pPr>
        <w:spacing w:after="80"/>
      </w:pPr>
      <w:r>
        <w:rPr>
          <w:sz w:val="24"/>
        </w:rPr>
        <w:t>Результаты. DBR сохранял покрытие на уровне около 96–98% и снижал долю ошибок разбора после отбора до 0.0000. В серии 211–213 средняя дельта DBR относительно обычного рециклирования на Gen2 составила: точность +0.0625, педагогическая оценка +0.1461, доля скрытых ошибок -0.0636. В более чистой серии 221–223 эффект был слабее: +0.0333, +0.0200 и +0.0267 соответственно. CSR показал устойчивый контрастный сигнал: доля построенных пар 0.5111 при k=3 и 0.5889 при k=5, средний разрыв качества 5.3968–5.8029.</w:t>
      </w:r>
    </w:p>
    <w:p/>
    <w:p>
      <w:pPr>
        <w:spacing w:after="80"/>
      </w:pPr>
      <w:r>
        <w:rPr>
          <w:sz w:val="24"/>
        </w:rPr>
        <w:t>Выводы. Дидактический коллапс в данной постановке целесообразно трактовать как риск распространения педагогических дефектов. DBR является наиболее сильным простым методом контроля этого риска среди проверенных подходов, но не является окончательным решением. CSR подтверждает наличие контрастного педагогического сигнала как механизма проблемы.</w:t>
      </w:r>
    </w:p>
    <w:p/>
    <w:p>
      <w:pPr>
        <w:spacing w:before="220" w:after="120"/>
      </w:pPr>
      <w:r>
        <w:rPr>
          <w:b/>
          <w:sz w:val="30"/>
        </w:rPr>
        <w:t>Ключевые слова</w:t>
      </w:r>
    </w:p>
    <w:p>
      <w:pPr>
        <w:spacing w:after="80"/>
      </w:pPr>
      <w:r>
        <w:rPr>
          <w:sz w:val="24"/>
        </w:rPr>
        <w:t>дидактический коллапс; синтетические образовательные данные; языковые модели; педагогические дефекты; скрытые педагогические ошибки; дефектно-бюджетное рециклирование; оценка объяснений; рециклирование данных</w:t>
      </w:r>
    </w:p>
    <w:p/>
    <w:p>
      <w:pPr>
        <w:spacing w:before="220" w:after="120"/>
      </w:pPr>
      <w:r>
        <w:rPr>
          <w:b/>
          <w:sz w:val="30"/>
        </w:rPr>
        <w:t>1. Введение</w:t>
      </w:r>
    </w:p>
    <w:p>
      <w:pPr>
        <w:spacing w:after="80"/>
      </w:pPr>
      <w:r>
        <w:rPr>
          <w:sz w:val="24"/>
        </w:rPr>
        <w:t>Синтетические образовательные данные становятся важным инструментом масштабирования учебных материалов. При повторном использовании таких данных между поколениями возникает риск того, что дефекты объяснений не только сохраняются, но и закрепляются.</w:t>
      </w:r>
    </w:p>
    <w:p/>
    <w:p>
      <w:pPr>
        <w:spacing w:after="80"/>
      </w:pPr>
      <w:r>
        <w:rPr>
          <w:sz w:val="24"/>
        </w:rPr>
        <w:t>Для образовательных объяснений точность итогового ответа недостаточна как единственный критерий качества. Формально правильный ответ может сопровождаться слабой структурой, логическими разрывами и скрыто вводящими в заблуждение шагами рассуждения. Поэтому необходимо отдельно измерять корректность ответа и педагогическую состоятельность объяснения.</w:t>
      </w:r>
    </w:p>
    <w:p/>
    <w:p>
      <w:pPr>
        <w:spacing w:after="80"/>
      </w:pPr>
      <w:r>
        <w:rPr>
          <w:sz w:val="24"/>
        </w:rPr>
        <w:t>В этой работе предлагается трактовать дидактический коллапс как риск распространения педагогических дефектов при повторном использовании синтетических объяснений. Такая трактовка важна потому, что в реальных сериях запусков динамика метрик может быть немонотонной.</w:t>
      </w:r>
    </w:p>
    <w:p/>
    <w:p>
      <w:pPr>
        <w:spacing w:after="80"/>
      </w:pPr>
      <w:r>
        <w:rPr>
          <w:sz w:val="24"/>
        </w:rPr>
        <w:t>Практический пробел состоит в отсутствии простого метода, который одновременно сохранял бы покрытие данных и явно контролировал бы состав дефектов. Для закрытия этого пробела исследуется дефектно-бюджетное рециклирование.</w:t>
      </w:r>
    </w:p>
    <w:p/>
    <w:p>
      <w:pPr>
        <w:spacing w:after="80"/>
      </w:pPr>
      <w:r>
        <w:rPr>
          <w:sz w:val="24"/>
        </w:rPr>
        <w:t>Вклад работы:</w:t>
      </w:r>
    </w:p>
    <w:p>
      <w:pPr>
        <w:spacing w:after="80"/>
      </w:pPr>
      <w:r>
        <w:rPr>
          <w:sz w:val="24"/>
        </w:rPr>
        <w:t>1. Вводится и операционализируется понятие дидактического коллапса как дефектного риска.</w:t>
      </w:r>
    </w:p>
    <w:p>
      <w:pPr>
        <w:spacing w:after="80"/>
      </w:pPr>
      <w:r>
        <w:rPr>
          <w:sz w:val="24"/>
        </w:rPr>
        <w:t>2. Предлагается метрикaльная схема, разделяющая точность, педагогическое качество и скрытые педагогические ошибки.</w:t>
      </w:r>
    </w:p>
    <w:p>
      <w:pPr>
        <w:spacing w:after="80"/>
      </w:pPr>
      <w:r>
        <w:rPr>
          <w:sz w:val="24"/>
        </w:rPr>
        <w:t>3. Предлагается дефектно-бюджетное рециклирование (DBR) как простой метод контроля распространения дефектов при высоком покрытии.</w:t>
      </w:r>
    </w:p>
    <w:p>
      <w:pPr>
        <w:spacing w:after="80"/>
      </w:pPr>
      <w:r>
        <w:rPr>
          <w:sz w:val="24"/>
        </w:rPr>
        <w:t>4. Представляется контрастивный анализ CSR как механистическое свидетельство внутреннего педагогического контраста ответов одной модели.</w:t>
      </w:r>
    </w:p>
    <w:p/>
    <w:p>
      <w:pPr>
        <w:spacing w:before="220" w:after="120"/>
      </w:pPr>
      <w:r>
        <w:rPr>
          <w:b/>
          <w:sz w:val="30"/>
        </w:rPr>
        <w:t>2. Постановка задачи и определения</w:t>
      </w:r>
    </w:p>
    <w:p>
      <w:pPr>
        <w:spacing w:before="180" w:after="100"/>
      </w:pPr>
      <w:r>
        <w:rPr>
          <w:b/>
          <w:sz w:val="27"/>
        </w:rPr>
        <w:t>2.1. Основные определения</w:t>
      </w:r>
    </w:p>
    <w:p>
      <w:pPr>
        <w:spacing w:after="80"/>
      </w:pPr>
      <w:r>
        <w:rPr>
          <w:sz w:val="24"/>
        </w:rPr>
        <w:t>Синтетическое образовательное объяснение — сгенерированный моделью текст решения учебной задачи, включающий рассуждение и финальный ответ.</w:t>
      </w:r>
    </w:p>
    <w:p/>
    <w:p>
      <w:pPr>
        <w:spacing w:after="80"/>
      </w:pPr>
      <w:r>
        <w:rPr>
          <w:sz w:val="24"/>
        </w:rPr>
        <w:t>Поколение рециклирования — итерация цикла «генерация → оценка → отбор → формирование следующего набора» (Gen0, Gen1, Gen2).</w:t>
      </w:r>
    </w:p>
    <w:p/>
    <w:p>
      <w:pPr>
        <w:spacing w:after="80"/>
      </w:pPr>
      <w:r>
        <w:rPr>
          <w:sz w:val="24"/>
        </w:rPr>
        <w:t>Дидактический дефект — характеристика объяснения, снижающая его учебную полезность (например, слабое рассуждение или слабая структура).</w:t>
      </w:r>
    </w:p>
    <w:p/>
    <w:p>
      <w:pPr>
        <w:spacing w:after="80"/>
      </w:pPr>
      <w:r>
        <w:rPr>
          <w:sz w:val="24"/>
        </w:rPr>
        <w:t>Скрытая педагогическая ошибка — случай, когда объяснение выглядит правдоподобным, но содержит потенциально вредный шаг рассуждения.</w:t>
      </w:r>
    </w:p>
    <w:p/>
    <w:p>
      <w:pPr>
        <w:spacing w:after="80"/>
      </w:pPr>
      <w:r>
        <w:rPr>
          <w:sz w:val="24"/>
        </w:rPr>
        <w:t>Покрытие данных — доля кандидатов, сохранённых для следующего поколения.</w:t>
      </w:r>
    </w:p>
    <w:p/>
    <w:p>
      <w:pPr>
        <w:spacing w:after="80"/>
      </w:pPr>
      <w:r>
        <w:rPr>
          <w:sz w:val="24"/>
        </w:rPr>
        <w:t>Дефектный бюджет — ограничение на допустимую долю конкретного дефекта в отобранном наборе.</w:t>
      </w:r>
    </w:p>
    <w:p/>
    <w:p>
      <w:pPr>
        <w:spacing w:before="180" w:after="100"/>
      </w:pPr>
      <w:r>
        <w:rPr>
          <w:b/>
          <w:sz w:val="27"/>
        </w:rPr>
        <w:t>2.2. Рабочее определение дидактического коллапса</w:t>
      </w:r>
    </w:p>
    <w:p>
      <w:pPr>
        <w:spacing w:after="80"/>
      </w:pPr>
      <w:r>
        <w:rPr>
          <w:sz w:val="24"/>
        </w:rPr>
        <w:t>В данной работе дидактический коллапс не определяется как обязательное монотонное ухудшение всех метрик. Он определяется как риск распространения и закрепления педагогических дефектов при повторном использовании синтетических объяснений.</w:t>
      </w:r>
    </w:p>
    <w:p/>
    <w:p>
      <w:pPr>
        <w:spacing w:before="220" w:after="120"/>
      </w:pPr>
      <w:r>
        <w:rPr>
          <w:b/>
          <w:sz w:val="30"/>
        </w:rPr>
        <w:t>3. Связанные работы</w:t>
      </w:r>
    </w:p>
    <w:p>
      <w:pPr>
        <w:spacing w:after="80"/>
      </w:pPr>
      <w:r>
        <w:rPr>
          <w:sz w:val="24"/>
        </w:rPr>
        <w:t>Работа содержательно связана с пятью направлениями: деградация синтетических данных при самогенерации, отбор и курирование синтетических корпусов, использование языковых моделей как автоматических судей, оценка образовательных объяснений и методы самообучения/рециклирования данных.</w:t>
      </w:r>
    </w:p>
    <w:p/>
    <w:p>
      <w:pPr>
        <w:spacing w:after="80"/>
      </w:pPr>
      <w:r>
        <w:rPr>
          <w:sz w:val="24"/>
        </w:rPr>
        <w:t>Перед подачей требуется заполнить полноценный библиографический список.</w:t>
      </w:r>
    </w:p>
    <w:p/>
    <w:p>
      <w:pPr>
        <w:spacing w:after="80"/>
      </w:pPr>
      <w:r>
        <w:rPr>
          <w:sz w:val="24"/>
        </w:rPr>
        <w:t>Требуется добавить источники по темам:</w:t>
      </w:r>
    </w:p>
    <w:p>
      <w:pPr>
        <w:ind w:left="720" w:hanging="360"/>
        <w:spacing w:after="70"/>
      </w:pPr>
      <w:r>
        <w:rPr>
          <w:sz w:val="24"/>
        </w:rPr>
        <w:t>• model collapse и деградация синтетических данных;</w:t>
      </w:r>
    </w:p>
    <w:p>
      <w:pPr>
        <w:ind w:left="720" w:hanging="360"/>
        <w:spacing w:after="70"/>
      </w:pPr>
      <w:r>
        <w:rPr>
          <w:sz w:val="24"/>
        </w:rPr>
        <w:t>• filtering/data curation для синтетических выборок;</w:t>
      </w:r>
    </w:p>
    <w:p>
      <w:pPr>
        <w:ind w:left="720" w:hanging="360"/>
        <w:spacing w:after="70"/>
      </w:pPr>
      <w:r>
        <w:rPr>
          <w:sz w:val="24"/>
        </w:rPr>
        <w:t>• LLM-as-a-judge;</w:t>
      </w:r>
    </w:p>
    <w:p>
      <w:pPr>
        <w:ind w:left="720" w:hanging="360"/>
        <w:spacing w:after="70"/>
      </w:pPr>
      <w:r>
        <w:rPr>
          <w:sz w:val="24"/>
        </w:rPr>
        <w:t>• оценка качества образовательных объяснений;</w:t>
      </w:r>
    </w:p>
    <w:p>
      <w:pPr>
        <w:ind w:left="720" w:hanging="360"/>
        <w:spacing w:after="70"/>
      </w:pPr>
      <w:r>
        <w:rPr>
          <w:sz w:val="24"/>
        </w:rPr>
        <w:t>• curriculum learning и управление качеством данных.</w:t>
      </w:r>
    </w:p>
    <w:p/>
    <w:p>
      <w:pPr>
        <w:spacing w:before="220" w:after="120"/>
      </w:pPr>
      <w:r>
        <w:rPr>
          <w:b/>
          <w:sz w:val="30"/>
        </w:rPr>
        <w:t>4. Материалы и методы</w:t>
      </w:r>
    </w:p>
    <w:p>
      <w:pPr>
        <w:spacing w:before="180" w:after="100"/>
      </w:pPr>
      <w:r>
        <w:rPr>
          <w:b/>
          <w:sz w:val="27"/>
        </w:rPr>
        <w:t>4.1. Экспериментальная постановка</w:t>
      </w:r>
    </w:p>
    <w:p>
      <w:pPr>
        <w:ind w:left="720" w:hanging="360"/>
        <w:spacing w:after="70"/>
      </w:pPr>
      <w:r>
        <w:rPr>
          <w:sz w:val="24"/>
        </w:rPr>
        <w:t>• Испытуемая модель: qwen2.5:0.5b.</w:t>
      </w:r>
    </w:p>
    <w:p>
      <w:pPr>
        <w:ind w:left="720" w:hanging="360"/>
        <w:spacing w:after="70"/>
      </w:pPr>
      <w:r>
        <w:rPr>
          <w:sz w:val="24"/>
        </w:rPr>
        <w:t>• Режим: inference_recycling_only.</w:t>
      </w:r>
    </w:p>
    <w:p>
      <w:pPr>
        <w:ind w:left="720" w:hanging="360"/>
        <w:spacing w:after="70"/>
      </w:pPr>
      <w:r>
        <w:rPr>
          <w:sz w:val="24"/>
        </w:rPr>
        <w:t>• Поколения: Gen0, Gen1, Gen2.</w:t>
      </w:r>
    </w:p>
    <w:p>
      <w:pPr>
        <w:ind w:left="720" w:hanging="360"/>
        <w:spacing w:after="70"/>
      </w:pPr>
      <w:r>
        <w:rPr>
          <w:sz w:val="24"/>
        </w:rPr>
        <w:t>• Основные ветви анализа: обычное рециклирование, DBR, CSR.</w:t>
      </w:r>
    </w:p>
    <w:p/>
    <w:p>
      <w:pPr>
        <w:spacing w:before="180" w:after="100"/>
      </w:pPr>
      <w:r>
        <w:rPr>
          <w:b/>
          <w:sz w:val="27"/>
        </w:rPr>
        <w:t>4.2. Автоматическая и дополнительная оценка</w:t>
      </w:r>
    </w:p>
    <w:p>
      <w:pPr>
        <w:spacing w:after="80"/>
      </w:pPr>
      <w:r>
        <w:rPr>
          <w:sz w:val="24"/>
        </w:rPr>
        <w:t>Основная автоматическая оценка выполнялась рубричной моделью-судьёй Llama 3.1 8B. Для проверки чувствительности использовалась дополнительная парная проверка Qwen3-235B на подвыборке. Ручной просмотр 35 пар применялся как качественная sanity-check проверка.</w:t>
      </w:r>
    </w:p>
    <w:p/>
    <w:p>
      <w:pPr>
        <w:spacing w:before="180" w:after="100"/>
      </w:pPr>
      <w:r>
        <w:rPr>
          <w:b/>
          <w:sz w:val="27"/>
        </w:rPr>
        <w:t>4.3. Ограничение постановки</w:t>
      </w:r>
    </w:p>
    <w:p>
      <w:pPr>
        <w:spacing w:after="80"/>
      </w:pPr>
      <w:r>
        <w:rPr>
          <w:sz w:val="24"/>
        </w:rPr>
        <w:t>Результаты относятся к режиму inference_recycling_only и не интерпретируются как эффект полноценного градиентного дообучения.</w:t>
      </w:r>
    </w:p>
    <w:p/>
    <w:p>
      <w:pPr>
        <w:spacing w:before="180" w:after="100"/>
      </w:pPr>
      <w:r>
        <w:rPr>
          <w:b/>
          <w:sz w:val="27"/>
        </w:rPr>
        <w:t>Таблица 1. Основные метрики и их интерпретация</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4513"/>
        <w:gridCol w:w="4513"/>
      </w:tblGrid>
      <w:tr>
        <w:tc>
          <w:tcPr>
            <w:tcW w:w="4513" w:type="dxa"/>
            <w:vAlign w:val="center"/>
            <w:shd w:val="clear" w:color="auto" w:fill="F2F2F2"/>
          </w:tcPr>
          <w:p>
            <w:pPr>
              <w:spacing w:before="40" w:after="40"/>
            </w:pPr>
            <w:r>
              <w:rPr>
                <w:b/>
                <w:sz w:val="24"/>
              </w:rPr>
              <w:t>Метрика</w:t>
            </w:r>
          </w:p>
        </w:tc>
        <w:tc>
          <w:tcPr>
            <w:tcW w:w="4513" w:type="dxa"/>
            <w:vAlign w:val="center"/>
            <w:shd w:val="clear" w:color="auto" w:fill="F2F2F2"/>
          </w:tcPr>
          <w:p>
            <w:pPr>
              <w:spacing w:before="40" w:after="40"/>
            </w:pPr>
            <w:r>
              <w:rPr>
                <w:b/>
                <w:sz w:val="24"/>
              </w:rPr>
              <w:t>Интерпретация</w:t>
            </w:r>
          </w:p>
        </w:tc>
      </w:tr>
      <w:tr>
        <w:tc>
          <w:tcPr>
            <w:tcW w:w="4513" w:type="dxa"/>
            <w:vAlign w:val="center"/>
          </w:tcPr>
          <w:p>
            <w:pPr>
              <w:spacing w:before="40" w:after="40"/>
            </w:pPr>
            <w:r>
              <w:rPr>
                <w:sz w:val="24"/>
              </w:rPr>
              <w:t>Точность ответа</w:t>
            </w:r>
          </w:p>
        </w:tc>
        <w:tc>
          <w:tcPr>
            <w:tcW w:w="4513" w:type="dxa"/>
            <w:vAlign w:val="center"/>
          </w:tcPr>
          <w:p>
            <w:pPr>
              <w:spacing w:before="40" w:after="40"/>
            </w:pPr>
            <w:r>
              <w:rPr>
                <w:sz w:val="24"/>
              </w:rPr>
              <w:t>Доля задач, где извлечённый финальный ответ совпадает с эталоном.</w:t>
            </w:r>
          </w:p>
        </w:tc>
      </w:tr>
      <w:tr>
        <w:tc>
          <w:tcPr>
            <w:tcW w:w="4513" w:type="dxa"/>
            <w:vAlign w:val="center"/>
          </w:tcPr>
          <w:p>
            <w:pPr>
              <w:spacing w:before="40" w:after="40"/>
            </w:pPr>
            <w:r>
              <w:rPr>
                <w:sz w:val="24"/>
              </w:rPr>
              <w:t>Педагогическая оценка</w:t>
            </w:r>
          </w:p>
        </w:tc>
        <w:tc>
          <w:tcPr>
            <w:tcW w:w="4513" w:type="dxa"/>
            <w:vAlign w:val="center"/>
          </w:tcPr>
          <w:p>
            <w:pPr>
              <w:spacing w:before="40" w:after="40"/>
            </w:pPr>
            <w:r>
              <w:rPr>
                <w:sz w:val="24"/>
              </w:rPr>
              <w:t>Интегральная оценка качества объяснения по рубрике.</w:t>
            </w:r>
          </w:p>
        </w:tc>
      </w:tr>
      <w:tr>
        <w:tc>
          <w:tcPr>
            <w:tcW w:w="4513" w:type="dxa"/>
            <w:vAlign w:val="center"/>
          </w:tcPr>
          <w:p>
            <w:pPr>
              <w:spacing w:before="40" w:after="40"/>
            </w:pPr>
            <w:r>
              <w:rPr>
                <w:sz w:val="24"/>
              </w:rPr>
              <w:t>Доля скрытых педагогических ошибок</w:t>
            </w:r>
          </w:p>
        </w:tc>
        <w:tc>
          <w:tcPr>
            <w:tcW w:w="4513" w:type="dxa"/>
            <w:vAlign w:val="center"/>
          </w:tcPr>
          <w:p>
            <w:pPr>
              <w:spacing w:before="40" w:after="40"/>
            </w:pPr>
            <w:r>
              <w:rPr>
                <w:sz w:val="24"/>
              </w:rPr>
              <w:t>Доля объяснений с потенциально вводящим в заблуждение рассуждением.</w:t>
            </w:r>
          </w:p>
        </w:tc>
      </w:tr>
      <w:tr>
        <w:tc>
          <w:tcPr>
            <w:tcW w:w="4513" w:type="dxa"/>
            <w:vAlign w:val="center"/>
          </w:tcPr>
          <w:p>
            <w:pPr>
              <w:spacing w:before="40" w:after="40"/>
            </w:pPr>
            <w:r>
              <w:rPr>
                <w:sz w:val="24"/>
              </w:rPr>
              <w:t>Доля ошибок разбора</w:t>
            </w:r>
          </w:p>
        </w:tc>
        <w:tc>
          <w:tcPr>
            <w:tcW w:w="4513" w:type="dxa"/>
            <w:vAlign w:val="center"/>
          </w:tcPr>
          <w:p>
            <w:pPr>
              <w:spacing w:before="40" w:after="40"/>
            </w:pPr>
            <w:r>
              <w:rPr>
                <w:sz w:val="24"/>
              </w:rPr>
              <w:t>Доля случаев, где финальный ответ не извлечён корректно.</w:t>
            </w:r>
          </w:p>
        </w:tc>
      </w:tr>
      <w:tr>
        <w:tc>
          <w:tcPr>
            <w:tcW w:w="4513" w:type="dxa"/>
            <w:vAlign w:val="center"/>
          </w:tcPr>
          <w:p>
            <w:pPr>
              <w:spacing w:before="40" w:after="40"/>
            </w:pPr>
            <w:r>
              <w:rPr>
                <w:sz w:val="24"/>
              </w:rPr>
              <w:t>Дефекты рассуждения и структуры</w:t>
            </w:r>
          </w:p>
        </w:tc>
        <w:tc>
          <w:tcPr>
            <w:tcW w:w="4513" w:type="dxa"/>
            <w:vAlign w:val="center"/>
          </w:tcPr>
          <w:p>
            <w:pPr>
              <w:spacing w:before="40" w:after="40"/>
            </w:pPr>
            <w:r>
              <w:rPr>
                <w:sz w:val="24"/>
              </w:rPr>
              <w:t>Признаки логически слабого рассуждения и/или некачественной структуры объяснения.</w:t>
            </w:r>
          </w:p>
        </w:tc>
      </w:tr>
      <w:tr>
        <w:tc>
          <w:tcPr>
            <w:tcW w:w="4513" w:type="dxa"/>
            <w:vAlign w:val="center"/>
          </w:tcPr>
          <w:p>
            <w:pPr>
              <w:spacing w:before="40" w:after="40"/>
            </w:pPr>
            <w:r>
              <w:rPr>
                <w:sz w:val="24"/>
              </w:rPr>
              <w:t>Покрытие данных</w:t>
            </w:r>
          </w:p>
        </w:tc>
        <w:tc>
          <w:tcPr>
            <w:tcW w:w="4513" w:type="dxa"/>
            <w:vAlign w:val="center"/>
          </w:tcPr>
          <w:p>
            <w:pPr>
              <w:spacing w:before="40" w:after="40"/>
            </w:pPr>
            <w:r>
              <w:rPr>
                <w:sz w:val="24"/>
              </w:rPr>
              <w:t>Доля кандидатов, сохранённых в следующем поколении.</w:t>
            </w:r>
          </w:p>
        </w:tc>
      </w:tr>
    </w:tbl>
    <w:p/>
    <w:p/>
    <w:p>
      <w:pPr>
        <w:spacing w:after="80"/>
      </w:pPr>
      <w:r>
        <w:rPr>
          <w:sz w:val="24"/>
        </w:rPr>
        <w:t>Пояснение. Для доли скрытых ошибок и доли ошибок разбора меньшие значения предпочтительнее.</w:t>
      </w:r>
    </w:p>
    <w:p/>
    <w:p>
      <w:pPr>
        <w:spacing w:after="80"/>
      </w:pPr>
      <w:r>
        <w:rPr>
          <w:sz w:val="24"/>
        </w:rPr>
        <w:t>Сокращения: DBR — дефектно-бюджетное рециклирование; CSR — контрастивное саморециклирование.</w:t>
      </w:r>
    </w:p>
    <w:p/>
    <w:p>
      <w:pPr>
        <w:spacing w:before="220" w:after="120"/>
      </w:pPr>
      <w:r>
        <w:rPr>
          <w:b/>
          <w:sz w:val="30"/>
        </w:rPr>
        <w:t>5. Метод дефектно-бюджетного рециклирования</w:t>
      </w:r>
    </w:p>
    <w:p>
      <w:pPr>
        <w:spacing w:before="180" w:after="100"/>
      </w:pPr>
      <w:r>
        <w:rPr>
          <w:b/>
          <w:sz w:val="27"/>
        </w:rPr>
        <w:t>5.1. Идея метода</w:t>
      </w:r>
    </w:p>
    <w:p>
      <w:pPr>
        <w:spacing w:after="80"/>
      </w:pPr>
      <w:r>
        <w:rPr>
          <w:sz w:val="24"/>
        </w:rPr>
        <w:t>DBR формирует следующее поколение данных так, чтобы одновременно сохранить высокий охват и ограничить распространение наиболее опасных дефектов. Метод не максимизирует чистоту данных любой ценой: при необходимости он допускает контролируемые нарушения менее критичных бюджетов и явно их протоколирует.</w:t>
      </w:r>
    </w:p>
    <w:p/>
    <w:p>
      <w:pPr>
        <w:spacing w:before="180" w:after="100"/>
      </w:pPr>
      <w:r>
        <w:rPr>
          <w:b/>
          <w:sz w:val="27"/>
        </w:rPr>
        <w:t>5.2. Дефектные признаки</w:t>
      </w:r>
    </w:p>
    <w:p>
      <w:pPr>
        <w:spacing w:after="80"/>
      </w:pPr>
      <w:r>
        <w:rPr>
          <w:sz w:val="24"/>
        </w:rPr>
        <w:t>В текущей версии метода учитываются бинарные признаки:</w:t>
      </w:r>
    </w:p>
    <w:p>
      <w:pPr>
        <w:ind w:left="720" w:hanging="360"/>
        <w:spacing w:after="70"/>
      </w:pPr>
      <w:r>
        <w:rPr>
          <w:sz w:val="24"/>
        </w:rPr>
        <w:t>• ошибка разбора финального ответа;</w:t>
      </w:r>
    </w:p>
    <w:p>
      <w:pPr>
        <w:ind w:left="720" w:hanging="360"/>
        <w:spacing w:after="70"/>
      </w:pPr>
      <w:r>
        <w:rPr>
          <w:sz w:val="24"/>
        </w:rPr>
        <w:t>• неправильный ответ;</w:t>
      </w:r>
    </w:p>
    <w:p>
      <w:pPr>
        <w:ind w:left="720" w:hanging="360"/>
        <w:spacing w:after="70"/>
      </w:pPr>
      <w:r>
        <w:rPr>
          <w:sz w:val="24"/>
        </w:rPr>
        <w:t>• скрытая педагогическая ошибка;</w:t>
      </w:r>
    </w:p>
    <w:p>
      <w:pPr>
        <w:ind w:left="720" w:hanging="360"/>
        <w:spacing w:after="70"/>
      </w:pPr>
      <w:r>
        <w:rPr>
          <w:sz w:val="24"/>
        </w:rPr>
        <w:t>• слабое рассуждение;</w:t>
      </w:r>
    </w:p>
    <w:p>
      <w:pPr>
        <w:ind w:left="720" w:hanging="360"/>
        <w:spacing w:after="70"/>
      </w:pPr>
      <w:r>
        <w:rPr>
          <w:sz w:val="24"/>
        </w:rPr>
        <w:t>• слабая структура.</w:t>
      </w:r>
    </w:p>
    <w:p/>
    <w:p>
      <w:pPr>
        <w:spacing w:before="180" w:after="100"/>
      </w:pPr>
      <w:r>
        <w:rPr>
          <w:b/>
          <w:sz w:val="27"/>
        </w:rPr>
        <w:t>5.3. Оценка тяжести дефекта</w:t>
      </w:r>
    </w:p>
    <w:p>
      <w:pPr>
        <w:spacing w:after="80"/>
      </w:pPr>
      <w:r>
        <w:rPr>
          <w:sz w:val="24"/>
        </w:rPr>
        <w:t>Используется следующая функция:</w:t>
      </w:r>
    </w:p>
    <w:p/>
    <w:p>
      <w:pPr>
        <w:spacing w:after="80"/>
      </w:pPr>
      <w:r>
        <w:rPr>
          <w:sz w:val="24"/>
        </w:rPr>
        <w:t>severity = 4·parse_failure + 4·silent_error + 2·incorrect + 2·low_reasoning + 1·low_structure</w:t>
      </w:r>
    </w:p>
    <w:p/>
    <w:p>
      <w:pPr>
        <w:spacing w:after="80"/>
      </w:pPr>
      <w:r>
        <w:rPr>
          <w:sz w:val="24"/>
        </w:rPr>
        <w:t>где каждый признак принимает значение 0 или 1.</w:t>
      </w:r>
    </w:p>
    <w:p/>
    <w:p>
      <w:pPr>
        <w:spacing w:before="180" w:after="100"/>
      </w:pPr>
      <w:r>
        <w:rPr>
          <w:b/>
          <w:sz w:val="27"/>
        </w:rPr>
        <w:t>5.4. Алгоритм отбора</w:t>
      </w:r>
    </w:p>
    <w:p>
      <w:pPr>
        <w:spacing w:after="80"/>
      </w:pPr>
      <w:r>
        <w:rPr>
          <w:sz w:val="24"/>
        </w:rPr>
        <w:t>Алгоритм 1. Дефектно-бюджетное рециклирование</w:t>
      </w:r>
    </w:p>
    <w:p/>
    <w:p>
      <w:pPr>
        <w:spacing w:after="80"/>
      </w:pPr>
      <w:r>
        <w:rPr>
          <w:sz w:val="24"/>
        </w:rPr>
        <w:t>Вход:</w:t>
      </w:r>
    </w:p>
    <w:p>
      <w:pPr>
        <w:ind w:left="720" w:hanging="360"/>
        <w:spacing w:after="70"/>
      </w:pPr>
      <w:r>
        <w:rPr>
          <w:sz w:val="24"/>
        </w:rPr>
        <w:t>• множество кандидатов \(E\);</w:t>
      </w:r>
    </w:p>
    <w:p>
      <w:pPr>
        <w:ind w:left="720" w:hanging="360"/>
        <w:spacing w:after="70"/>
      </w:pPr>
      <w:r>
        <w:rPr>
          <w:sz w:val="24"/>
        </w:rPr>
        <w:t>• бюджеты дефектов \(B\);</w:t>
      </w:r>
    </w:p>
    <w:p>
      <w:pPr>
        <w:ind w:left="720" w:hanging="360"/>
        <w:spacing w:after="70"/>
      </w:pPr>
      <w:r>
        <w:rPr>
          <w:sz w:val="24"/>
        </w:rPr>
        <w:t>• целевой размер \(N\).</w:t>
      </w:r>
    </w:p>
    <w:p/>
    <w:p>
      <w:pPr>
        <w:spacing w:after="80"/>
      </w:pPr>
      <w:r>
        <w:rPr>
          <w:sz w:val="24"/>
        </w:rPr>
        <w:t>Выход:</w:t>
      </w:r>
    </w:p>
    <w:p>
      <w:pPr>
        <w:ind w:left="720" w:hanging="360"/>
        <w:spacing w:after="70"/>
      </w:pPr>
      <w:r>
        <w:rPr>
          <w:sz w:val="24"/>
        </w:rPr>
        <w:t>• отобранный набор \(S\);</w:t>
      </w:r>
    </w:p>
    <w:p>
      <w:pPr>
        <w:ind w:left="720" w:hanging="360"/>
        <w:spacing w:after="70"/>
      </w:pPr>
      <w:r>
        <w:rPr>
          <w:sz w:val="24"/>
        </w:rPr>
        <w:t>• отчёт о нарушениях бюджетов.</w:t>
      </w:r>
    </w:p>
    <w:p/>
    <w:p>
      <w:pPr>
        <w:spacing w:after="80"/>
      </w:pPr>
      <w:r>
        <w:rPr>
          <w:sz w:val="24"/>
        </w:rPr>
        <w:t>Шаги:</w:t>
      </w:r>
    </w:p>
    <w:p>
      <w:pPr>
        <w:spacing w:after="80"/>
      </w:pPr>
      <w:r>
        <w:rPr>
          <w:sz w:val="24"/>
        </w:rPr>
        <w:t>1. Для каждого \(e \in E\) вычислить дефектные признаки и значение severity.</w:t>
      </w:r>
    </w:p>
    <w:p>
      <w:pPr>
        <w:spacing w:after="80"/>
      </w:pPr>
      <w:r>
        <w:rPr>
          <w:sz w:val="24"/>
        </w:rPr>
        <w:t>2. Отсортировать \(E\) по возрастанию severity и дополнительным признакам качества.</w:t>
      </w:r>
    </w:p>
    <w:p>
      <w:pPr>
        <w:spacing w:after="80"/>
      </w:pPr>
      <w:r>
        <w:rPr>
          <w:sz w:val="24"/>
        </w:rPr>
        <w:t>3. Последовательно добавлять элементы в \(S\), соблюдая бюджеты \(B\).</w:t>
      </w:r>
    </w:p>
    <w:p>
      <w:pPr>
        <w:spacing w:after="80"/>
      </w:pPr>
      <w:r>
        <w:rPr>
          <w:sz w:val="24"/>
        </w:rPr>
        <w:t>4. Если \(|S| &lt; N\), ослаблять бюджеты в фиксированном порядке и явно протоколировать нарушения.</w:t>
      </w:r>
    </w:p>
    <w:p>
      <w:pPr>
        <w:spacing w:after="80"/>
      </w:pPr>
      <w:r>
        <w:rPr>
          <w:sz w:val="24"/>
        </w:rPr>
        <w:t>5. Вернуть \(S\) и отчёт.</w:t>
      </w:r>
    </w:p>
    <w:p/>
    <w:p>
      <w:pPr>
        <w:spacing w:before="180" w:after="100"/>
      </w:pPr>
      <w:r>
        <w:rPr>
          <w:b/>
          <w:sz w:val="27"/>
        </w:rPr>
        <w:t>5.5. Почему DBR отличается от простой фильтрации</w:t>
      </w:r>
    </w:p>
    <w:p>
      <w:pPr>
        <w:spacing w:after="80"/>
      </w:pPr>
      <w:r>
        <w:rPr>
          <w:sz w:val="24"/>
        </w:rPr>
        <w:t>Жёсткая фильтрация обычно применяет правило «прошёл/не прошёл» и теряет покрытие. DBR добавляет управляемый компромисс: покрытие сохраняется близким к целевому размеру, а нарушения ограничений становятся измеримыми и прозрачными. Это позволяет отделить реальный эффект метода от артефактов резкого сокращения выборки.</w:t>
      </w:r>
    </w:p>
    <w:p/>
    <w:p>
      <w:pPr>
        <w:spacing w:before="220" w:after="120"/>
      </w:pPr>
      <w:r>
        <w:rPr>
          <w:b/>
          <w:sz w:val="30"/>
        </w:rPr>
        <w:t>6. Экспериментальный дизайн</w:t>
      </w:r>
    </w:p>
    <w:p>
      <w:pPr>
        <w:spacing w:before="180" w:after="100"/>
      </w:pPr>
      <w:r>
        <w:rPr>
          <w:b/>
          <w:sz w:val="27"/>
        </w:rPr>
        <w:t>Таблица 2. Сводка экспериментальных серий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2256"/>
        <w:gridCol w:w="2256"/>
        <w:gridCol w:w="2256"/>
        <w:gridCol w:w="2256"/>
      </w:tblGrid>
      <w:tr>
        <w:tc>
          <w:tcPr>
            <w:tcW w:w="2256" w:type="dxa"/>
            <w:vAlign w:val="center"/>
            <w:shd w:val="clear" w:color="auto" w:fill="F2F2F2"/>
          </w:tcPr>
          <w:p>
            <w:pPr>
              <w:spacing w:before="40" w:after="40"/>
            </w:pPr>
            <w:r>
              <w:rPr>
                <w:b/>
                <w:sz w:val="24"/>
              </w:rPr>
              <w:t>Серия</w:t>
            </w:r>
          </w:p>
        </w:tc>
        <w:tc>
          <w:tcPr>
            <w:tcW w:w="2256" w:type="dxa"/>
            <w:vAlign w:val="center"/>
            <w:shd w:val="clear" w:color="auto" w:fill="F2F2F2"/>
          </w:tcPr>
          <w:p>
            <w:pPr>
              <w:spacing w:before="40" w:after="40"/>
            </w:pPr>
            <w:r>
              <w:rPr>
                <w:b/>
                <w:sz w:val="24"/>
              </w:rPr>
              <w:t>Цель</w:t>
            </w:r>
          </w:p>
        </w:tc>
        <w:tc>
          <w:tcPr>
            <w:tcW w:w="2256" w:type="dxa"/>
            <w:vAlign w:val="center"/>
            <w:shd w:val="clear" w:color="auto" w:fill="F2F2F2"/>
          </w:tcPr>
          <w:p>
            <w:pPr>
              <w:spacing w:before="40" w:after="40"/>
            </w:pPr>
            <w:r>
              <w:rPr>
                <w:b/>
                <w:sz w:val="24"/>
              </w:rPr>
              <w:t>Дизайн</w:t>
            </w:r>
          </w:p>
        </w:tc>
        <w:tc>
          <w:tcPr>
            <w:tcW w:w="2256" w:type="dxa"/>
            <w:vAlign w:val="center"/>
            <w:shd w:val="clear" w:color="auto" w:fill="F2F2F2"/>
          </w:tcPr>
          <w:p>
            <w:pPr>
              <w:spacing w:before="40" w:after="40"/>
            </w:pPr>
            <w:r>
              <w:rPr>
                <w:b/>
                <w:sz w:val="24"/>
              </w:rPr>
              <w:t>Роль в утверждениях</w:t>
            </w:r>
          </w:p>
        </w:tc>
      </w:tr>
      <w:tr>
        <w:tc>
          <w:tcPr>
            <w:tcW w:w="2256" w:type="dxa"/>
            <w:vAlign w:val="center"/>
          </w:tcPr>
          <w:p>
            <w:pPr>
              <w:spacing w:before="40" w:after="40"/>
            </w:pPr>
            <w:r>
              <w:rPr>
                <w:sz w:val="24"/>
              </w:rPr>
              <w:t>DBR confirmatory 211–213</w:t>
            </w:r>
          </w:p>
        </w:tc>
        <w:tc>
          <w:tcPr>
            <w:tcW w:w="2256" w:type="dxa"/>
            <w:vAlign w:val="center"/>
          </w:tcPr>
          <w:p>
            <w:pPr>
              <w:spacing w:before="40" w:after="40"/>
            </w:pPr>
            <w:r>
              <w:rPr>
                <w:sz w:val="24"/>
              </w:rPr>
              <w:t>Проверка эффекта DBR в многоветочном сравнении</w:t>
            </w:r>
          </w:p>
        </w:tc>
        <w:tc>
          <w:tcPr>
            <w:tcW w:w="2256" w:type="dxa"/>
            <w:vAlign w:val="center"/>
          </w:tcPr>
          <w:p>
            <w:pPr>
              <w:spacing w:before="40" w:after="40"/>
            </w:pPr>
            <w:r>
              <w:rPr>
                <w:sz w:val="24"/>
              </w:rPr>
              <w:t>3 seed, Gen0–Gen2, ветви: обычное рециклирование, DBR, дополнительная контрольная ветвь</w:t>
            </w:r>
          </w:p>
        </w:tc>
        <w:tc>
          <w:tcPr>
            <w:tcW w:w="2256" w:type="dxa"/>
            <w:vAlign w:val="center"/>
          </w:tcPr>
          <w:p>
            <w:pPr>
              <w:spacing w:before="40" w:after="40"/>
            </w:pPr>
            <w:r>
              <w:rPr>
                <w:sz w:val="24"/>
              </w:rPr>
              <w:t>Основное количественное свидетельство (частично положительный результат)</w:t>
            </w:r>
          </w:p>
        </w:tc>
      </w:tr>
      <w:tr>
        <w:tc>
          <w:tcPr>
            <w:tcW w:w="2256" w:type="dxa"/>
            <w:vAlign w:val="center"/>
          </w:tcPr>
          <w:p>
            <w:pPr>
              <w:spacing w:before="40" w:after="40"/>
            </w:pPr>
            <w:r>
              <w:rPr>
                <w:sz w:val="24"/>
              </w:rPr>
              <w:t>DBR-only 221–223</w:t>
            </w:r>
          </w:p>
        </w:tc>
        <w:tc>
          <w:tcPr>
            <w:tcW w:w="2256" w:type="dxa"/>
            <w:vAlign w:val="center"/>
          </w:tcPr>
          <w:p>
            <w:pPr>
              <w:spacing w:before="40" w:after="40"/>
            </w:pPr>
            <w:r>
              <w:rPr>
                <w:sz w:val="24"/>
              </w:rPr>
              <w:t>Чистое сравнение обычного рециклирования и DBR</w:t>
            </w:r>
          </w:p>
        </w:tc>
        <w:tc>
          <w:tcPr>
            <w:tcW w:w="2256" w:type="dxa"/>
            <w:vAlign w:val="center"/>
          </w:tcPr>
          <w:p>
            <w:pPr>
              <w:spacing w:before="40" w:after="40"/>
            </w:pPr>
            <w:r>
              <w:rPr>
                <w:sz w:val="24"/>
              </w:rPr>
              <w:t>3 seed, Gen0–Gen2, ветви: обычное рециклирование и DBR</w:t>
            </w:r>
          </w:p>
        </w:tc>
        <w:tc>
          <w:tcPr>
            <w:tcW w:w="2256" w:type="dxa"/>
            <w:vAlign w:val="center"/>
          </w:tcPr>
          <w:p>
            <w:pPr>
              <w:spacing w:before="40" w:after="40"/>
            </w:pPr>
            <w:r>
              <w:rPr>
                <w:sz w:val="24"/>
              </w:rPr>
              <w:t>Проверка устойчивости эффекта в упрощённой постановке</w:t>
            </w:r>
          </w:p>
        </w:tc>
      </w:tr>
      <w:tr>
        <w:tc>
          <w:tcPr>
            <w:tcW w:w="2256" w:type="dxa"/>
            <w:vAlign w:val="center"/>
          </w:tcPr>
          <w:p>
            <w:pPr>
              <w:spacing w:before="40" w:after="40"/>
            </w:pPr>
            <w:r>
              <w:rPr>
                <w:sz w:val="24"/>
              </w:rPr>
              <w:t>CSR (k=3)</w:t>
            </w:r>
          </w:p>
        </w:tc>
        <w:tc>
          <w:tcPr>
            <w:tcW w:w="2256" w:type="dxa"/>
            <w:vAlign w:val="center"/>
          </w:tcPr>
          <w:p>
            <w:pPr>
              <w:spacing w:before="40" w:after="40"/>
            </w:pPr>
            <w:r>
              <w:rPr>
                <w:sz w:val="24"/>
              </w:rPr>
              <w:t>Предварительная проверка контрастного сигнала</w:t>
            </w:r>
          </w:p>
        </w:tc>
        <w:tc>
          <w:tcPr>
            <w:tcW w:w="2256" w:type="dxa"/>
            <w:vAlign w:val="center"/>
          </w:tcPr>
          <w:p>
            <w:pPr>
              <w:spacing w:before="40" w:after="40"/>
            </w:pPr>
            <w:r>
              <w:rPr>
                <w:sz w:val="24"/>
              </w:rPr>
              <w:t>1 seed, Gen0–Gen2, 3 кандидата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CSR (k=5)</w:t>
            </w:r>
          </w:p>
        </w:tc>
        <w:tc>
          <w:tcPr>
            <w:tcW w:w="2256" w:type="dxa"/>
            <w:vAlign w:val="center"/>
          </w:tcPr>
          <w:p>
            <w:pPr>
              <w:spacing w:before="40" w:after="40"/>
            </w:pPr>
            <w:r>
              <w:rPr>
                <w:sz w:val="24"/>
              </w:rPr>
              <w:t>Узкое усиление контрастивной конструкции</w:t>
            </w:r>
          </w:p>
        </w:tc>
        <w:tc>
          <w:tcPr>
            <w:tcW w:w="2256" w:type="dxa"/>
            <w:vAlign w:val="center"/>
          </w:tcPr>
          <w:p>
            <w:pPr>
              <w:spacing w:before="40" w:after="40"/>
            </w:pPr>
            <w:r>
              <w:rPr>
                <w:sz w:val="24"/>
              </w:rPr>
              <w:t>1 seed, Gen0–Gen2, 5 кандидатов на задачу</w:t>
            </w:r>
          </w:p>
        </w:tc>
        <w:tc>
          <w:tcPr>
            <w:tcW w:w="2256" w:type="dxa"/>
            <w:vAlign w:val="center"/>
          </w:tcPr>
          <w:p>
            <w:pPr>
              <w:spacing w:before="40" w:after="40"/>
            </w:pPr>
            <w:r>
              <w:rPr>
                <w:sz w:val="24"/>
              </w:rPr>
              <w:t>Проверка улучшения построения пар</w:t>
            </w:r>
          </w:p>
        </w:tc>
      </w:tr>
      <w:tr>
        <w:tc>
          <w:tcPr>
            <w:tcW w:w="2256" w:type="dxa"/>
            <w:vAlign w:val="center"/>
          </w:tcPr>
          <w:p>
            <w:pPr>
              <w:spacing w:before="40" w:after="40"/>
            </w:pPr>
            <w:r>
              <w:rPr>
                <w:sz w:val="24"/>
              </w:rPr>
              <w:t>Парная проверка Qwen3-235B</w:t>
            </w:r>
          </w:p>
        </w:tc>
        <w:tc>
          <w:tcPr>
            <w:tcW w:w="2256" w:type="dxa"/>
            <w:vAlign w:val="center"/>
          </w:tcPr>
          <w:p>
            <w:pPr>
              <w:spacing w:before="40" w:after="40"/>
            </w:pPr>
            <w:r>
              <w:rPr>
                <w:sz w:val="24"/>
              </w:rPr>
              <w:t>Проверка чувствительности к модели-судье</w:t>
            </w:r>
          </w:p>
        </w:tc>
        <w:tc>
          <w:tcPr>
            <w:tcW w:w="2256" w:type="dxa"/>
            <w:vAlign w:val="center"/>
          </w:tcPr>
          <w:p>
            <w:pPr>
              <w:spacing w:before="40" w:after="40"/>
            </w:pPr>
            <w:r>
              <w:rPr>
                <w:sz w:val="24"/>
              </w:rPr>
              <w:t>48 пар выбрано, 39 пар успешно оценено</w:t>
            </w:r>
          </w:p>
        </w:tc>
        <w:tc>
          <w:tcPr>
            <w:tcW w:w="2256" w:type="dxa"/>
            <w:vAlign w:val="center"/>
          </w:tcPr>
          <w:p>
            <w:pPr>
              <w:spacing w:before="40" w:after="40"/>
            </w:pPr>
            <w:r>
              <w:rPr>
                <w:sz w:val="24"/>
              </w:rPr>
              <w:t>Дополнительная проверка направления эффекта</w:t>
            </w:r>
          </w:p>
        </w:tc>
      </w:tr>
      <w:tr>
        <w:tc>
          <w:tcPr>
            <w:tcW w:w="2256" w:type="dxa"/>
            <w:vAlign w:val="center"/>
          </w:tcPr>
          <w:p>
            <w:pPr>
              <w:spacing w:before="40" w:after="40"/>
            </w:pPr>
            <w:r>
              <w:rPr>
                <w:sz w:val="24"/>
              </w:rPr>
              <w:t>Ручная проверка 35 пар</w:t>
            </w:r>
          </w:p>
        </w:tc>
        <w:tc>
          <w:tcPr>
            <w:tcW w:w="2256" w:type="dxa"/>
            <w:vAlign w:val="center"/>
          </w:tcPr>
          <w:p>
            <w:pPr>
              <w:spacing w:before="40" w:after="40"/>
            </w:pPr>
            <w:r>
              <w:rPr>
                <w:sz w:val="24"/>
              </w:rPr>
              <w:t>Качественная sanity-check проверка</w:t>
            </w:r>
          </w:p>
        </w:tc>
        <w:tc>
          <w:tcPr>
            <w:tcW w:w="2256" w:type="dxa"/>
            <w:vAlign w:val="center"/>
          </w:tcPr>
          <w:p>
            <w:pPr>
              <w:spacing w:before="40" w:after="40"/>
            </w:pPr>
            <w:r>
              <w:rPr>
                <w:sz w:val="24"/>
              </w:rPr>
              <w:t>Неформализованный экспертный просмотр</w:t>
            </w:r>
          </w:p>
        </w:tc>
        <w:tc>
          <w:tcPr>
            <w:tcW w:w="2256" w:type="dxa"/>
            <w:vAlign w:val="center"/>
          </w:tcPr>
          <w:p>
            <w:pPr>
              <w:spacing w:before="40" w:after="40"/>
            </w:pPr>
            <w:r>
              <w:rPr>
                <w:sz w:val="24"/>
              </w:rPr>
              <w:t>Качественное подтверждение содержательной приемлемости</w:t>
            </w:r>
          </w:p>
        </w:tc>
      </w:tr>
    </w:tbl>
    <w:p/>
    <w:p/>
    <w:p>
      <w:pPr>
        <w:spacing w:after="80"/>
      </w:pPr>
      <w:r>
        <w:rPr>
          <w:sz w:val="24"/>
        </w:rPr>
        <w:t>Пояснение. Основные claim-bearing выводы опираются на пересчитанные сводки из построчных данных.</w:t>
      </w:r>
    </w:p>
    <w:p/>
    <w:p>
      <w:pPr>
        <w:spacing w:after="80"/>
      </w:pPr>
      <w:r>
        <w:rPr>
          <w:sz w:val="24"/>
        </w:rPr>
        <w:t>Сокращения: seed — случайный запуск; Gen — поколение рециклирования.</w:t>
      </w:r>
    </w:p>
    <w:p/>
    <w:p>
      <w:pPr>
        <w:spacing w:before="220" w:after="120"/>
      </w:pPr>
      <w:r>
        <w:rPr>
          <w:b/>
          <w:sz w:val="30"/>
        </w:rPr>
        <w:t>7. Результаты</w:t>
      </w:r>
    </w:p>
    <w:p>
      <w:pPr>
        <w:spacing w:before="180" w:after="100"/>
      </w:pPr>
      <w:r>
        <w:rPr>
          <w:b/>
          <w:sz w:val="27"/>
        </w:rPr>
        <w:t>7.1. Дефектный риск в обычном рециклировании</w:t>
      </w:r>
    </w:p>
    <w:p>
      <w:pPr>
        <w:spacing w:after="80"/>
      </w:pPr>
      <w:r>
        <w:rPr>
          <w:sz w:val="24"/>
        </w:rPr>
        <w:t>Строгий монотонный спад метрик обычного рециклирования во всех сериях не подтверждён. Вместе с тем сохраняется ненулевая дефектная нагрузка (скрытые ошибки, структурно-логические дефекты, ошибки разбора), что поддерживает трактовку дидактического коллапса как риска распространения дефектов.</w:t>
      </w:r>
    </w:p>
    <w:p/>
    <w:p>
      <w:pPr>
        <w:spacing w:before="180" w:after="100"/>
      </w:pPr>
      <w:r>
        <w:rPr>
          <w:b/>
          <w:sz w:val="27"/>
        </w:rPr>
        <w:t>7.2. Механизм DBR: покрытие и дефекты</w:t>
      </w:r>
    </w:p>
    <w:p>
      <w:pPr>
        <w:spacing w:before="180" w:after="100"/>
      </w:pPr>
      <w:r>
        <w:rPr>
          <w:b/>
          <w:sz w:val="27"/>
        </w:rPr>
        <w:t>Таблица 3. Механизм DBR: покрытие и дефекты до/после</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Показатель</w:t>
            </w:r>
          </w:p>
        </w:tc>
        <w:tc>
          <w:tcPr>
            <w:tcW w:w="3008" w:type="dxa"/>
            <w:vAlign w:val="center"/>
            <w:shd w:val="clear" w:color="auto" w:fill="F2F2F2"/>
          </w:tcPr>
          <w:p>
            <w:pPr>
              <w:spacing w:before="40" w:after="40"/>
            </w:pPr>
            <w:r>
              <w:rPr>
                <w:b/>
                <w:sz w:val="24"/>
              </w:rPr>
              <w:t>Серия 211–213</w:t>
            </w:r>
          </w:p>
        </w:tc>
        <w:tc>
          <w:tcPr>
            <w:tcW w:w="3008" w:type="dxa"/>
            <w:vAlign w:val="center"/>
            <w:shd w:val="clear" w:color="auto" w:fill="F2F2F2"/>
          </w:tcPr>
          <w:p>
            <w:pPr>
              <w:spacing w:before="40" w:after="40"/>
            </w:pPr>
            <w:r>
              <w:rPr>
                <w:b/>
                <w:sz w:val="24"/>
              </w:rPr>
              <w:t>Серия 221–223</w:t>
            </w:r>
          </w:p>
        </w:tc>
      </w:tr>
      <w:tr>
        <w:tc>
          <w:tcPr>
            <w:tcW w:w="3008" w:type="dxa"/>
            <w:vAlign w:val="center"/>
          </w:tcPr>
          <w:p>
            <w:pPr>
              <w:spacing w:before="40" w:after="40"/>
            </w:pPr>
            <w:r>
              <w:rPr>
                <w:sz w:val="24"/>
              </w:rPr>
              <w:t>Среднее покрытие (selection rate)</w:t>
            </w:r>
          </w:p>
        </w:tc>
        <w:tc>
          <w:tcPr>
            <w:tcW w:w="3008" w:type="dxa"/>
            <w:vAlign w:val="center"/>
          </w:tcPr>
          <w:p>
            <w:pPr>
              <w:spacing w:before="40" w:after="40"/>
            </w:pPr>
            <w:r>
              <w:rPr>
                <w:sz w:val="24"/>
              </w:rPr>
              <w:t>0.9756</w:t>
            </w:r>
          </w:p>
        </w:tc>
        <w:tc>
          <w:tcPr>
            <w:tcW w:w="3008" w:type="dxa"/>
            <w:vAlign w:val="center"/>
          </w:tcPr>
          <w:p>
            <w:pPr>
              <w:spacing w:before="40" w:after="40"/>
            </w:pPr>
            <w:r>
              <w:rPr>
                <w:sz w:val="24"/>
              </w:rPr>
              <w:t>0.9656</w:t>
            </w:r>
          </w:p>
        </w:tc>
      </w:tr>
      <w:tr>
        <w:tc>
          <w:tcPr>
            <w:tcW w:w="3008" w:type="dxa"/>
            <w:vAlign w:val="center"/>
          </w:tcPr>
          <w:p>
            <w:pPr>
              <w:spacing w:before="40" w:after="40"/>
            </w:pPr>
            <w:r>
              <w:rPr>
                <w:sz w:val="24"/>
              </w:rPr>
              <w:t>Средняя доля ошибок разбора после отбора</w:t>
            </w:r>
          </w:p>
        </w:tc>
        <w:tc>
          <w:tcPr>
            <w:tcW w:w="3008" w:type="dxa"/>
            <w:vAlign w:val="center"/>
          </w:tcPr>
          <w:p>
            <w:pPr>
              <w:spacing w:before="40" w:after="40"/>
            </w:pPr>
            <w:r>
              <w:rPr>
                <w:sz w:val="24"/>
              </w:rPr>
              <w:t>0.0000</w:t>
            </w:r>
          </w:p>
        </w:tc>
        <w:tc>
          <w:tcPr>
            <w:tcW w:w="3008" w:type="dxa"/>
            <w:vAlign w:val="center"/>
          </w:tcPr>
          <w:p>
            <w:pPr>
              <w:spacing w:before="40" w:after="40"/>
            </w:pPr>
            <w:r>
              <w:rPr>
                <w:sz w:val="24"/>
              </w:rPr>
              <w:t>0.0000</w:t>
            </w:r>
          </w:p>
        </w:tc>
      </w:tr>
      <w:tr>
        <w:tc>
          <w:tcPr>
            <w:tcW w:w="3008" w:type="dxa"/>
            <w:vAlign w:val="center"/>
          </w:tcPr>
          <w:p>
            <w:pPr>
              <w:spacing w:before="40" w:after="40"/>
            </w:pPr>
            <w:r>
              <w:rPr>
                <w:sz w:val="24"/>
              </w:rPr>
              <w:t>Средняя дельта скрытых ошибок (после − до)</w:t>
            </w:r>
          </w:p>
        </w:tc>
        <w:tc>
          <w:tcPr>
            <w:tcW w:w="3008" w:type="dxa"/>
            <w:vAlign w:val="center"/>
          </w:tcPr>
          <w:p>
            <w:pPr>
              <w:spacing w:before="40" w:after="40"/>
            </w:pPr>
            <w:r>
              <w:rPr>
                <w:sz w:val="24"/>
              </w:rPr>
              <w:t>-0.0030</w:t>
            </w:r>
          </w:p>
        </w:tc>
        <w:tc>
          <w:tcPr>
            <w:tcW w:w="3008" w:type="dxa"/>
            <w:vAlign w:val="center"/>
          </w:tcPr>
          <w:p>
            <w:pPr>
              <w:spacing w:before="40" w:after="40"/>
            </w:pPr>
            <w:r>
              <w:rPr>
                <w:sz w:val="24"/>
              </w:rPr>
              <w:t>-0.0083</w:t>
            </w:r>
          </w:p>
        </w:tc>
      </w:tr>
      <w:tr>
        <w:tc>
          <w:tcPr>
            <w:tcW w:w="3008" w:type="dxa"/>
            <w:vAlign w:val="center"/>
          </w:tcPr>
          <w:p>
            <w:pPr>
              <w:spacing w:before="40" w:after="40"/>
            </w:pPr>
            <w:r>
              <w:rPr>
                <w:sz w:val="24"/>
              </w:rPr>
              <w:t>Средняя дельта неправильных ответов (после − до)</w:t>
            </w:r>
          </w:p>
        </w:tc>
        <w:tc>
          <w:tcPr>
            <w:tcW w:w="3008" w:type="dxa"/>
            <w:vAlign w:val="center"/>
          </w:tcPr>
          <w:p>
            <w:pPr>
              <w:spacing w:before="40" w:after="40"/>
            </w:pPr>
            <w:r>
              <w:rPr>
                <w:sz w:val="24"/>
              </w:rPr>
              <w:t>-0.0114</w:t>
            </w:r>
          </w:p>
        </w:tc>
        <w:tc>
          <w:tcPr>
            <w:tcW w:w="3008" w:type="dxa"/>
            <w:vAlign w:val="center"/>
          </w:tcPr>
          <w:p>
            <w:pPr>
              <w:spacing w:before="40" w:after="40"/>
            </w:pPr>
            <w:r>
              <w:rPr>
                <w:sz w:val="24"/>
              </w:rPr>
              <w:t>-0.0153</w:t>
            </w:r>
          </w:p>
        </w:tc>
      </w:tr>
      <w:tr>
        <w:tc>
          <w:tcPr>
            <w:tcW w:w="3008" w:type="dxa"/>
            <w:vAlign w:val="center"/>
          </w:tcPr>
          <w:p>
            <w:pPr>
              <w:spacing w:before="40" w:after="40"/>
            </w:pPr>
            <w:r>
              <w:rPr>
                <w:sz w:val="24"/>
              </w:rPr>
              <w:t>Средняя дельта слабого рассуждения (после − до)</w:t>
            </w:r>
          </w:p>
        </w:tc>
        <w:tc>
          <w:tcPr>
            <w:tcW w:w="3008" w:type="dxa"/>
            <w:vAlign w:val="center"/>
          </w:tcPr>
          <w:p>
            <w:pPr>
              <w:spacing w:before="40" w:after="40"/>
            </w:pPr>
            <w:r>
              <w:rPr>
                <w:sz w:val="24"/>
              </w:rPr>
              <w:t>-0.0113</w:t>
            </w:r>
          </w:p>
        </w:tc>
        <w:tc>
          <w:tcPr>
            <w:tcW w:w="3008" w:type="dxa"/>
            <w:vAlign w:val="center"/>
          </w:tcPr>
          <w:p>
            <w:pPr>
              <w:spacing w:before="40" w:after="40"/>
            </w:pPr>
            <w:r>
              <w:rPr>
                <w:sz w:val="24"/>
              </w:rPr>
              <w:t>-0.0076</w:t>
            </w:r>
          </w:p>
        </w:tc>
      </w:tr>
      <w:tr>
        <w:tc>
          <w:tcPr>
            <w:tcW w:w="3008" w:type="dxa"/>
            <w:vAlign w:val="center"/>
          </w:tcPr>
          <w:p>
            <w:pPr>
              <w:spacing w:before="40" w:after="40"/>
            </w:pPr>
            <w:r>
              <w:rPr>
                <w:sz w:val="24"/>
              </w:rPr>
              <w:t>Средняя дельта слабой структуры (после − до)</w:t>
            </w:r>
          </w:p>
        </w:tc>
        <w:tc>
          <w:tcPr>
            <w:tcW w:w="3008" w:type="dxa"/>
            <w:vAlign w:val="center"/>
          </w:tcPr>
          <w:p>
            <w:pPr>
              <w:spacing w:before="40" w:after="40"/>
            </w:pPr>
            <w:r>
              <w:rPr>
                <w:sz w:val="24"/>
              </w:rPr>
              <w:t>-0.0148</w:t>
            </w:r>
          </w:p>
        </w:tc>
        <w:tc>
          <w:tcPr>
            <w:tcW w:w="3008" w:type="dxa"/>
            <w:vAlign w:val="center"/>
          </w:tcPr>
          <w:p>
            <w:pPr>
              <w:spacing w:before="40" w:after="40"/>
            </w:pPr>
            <w:r>
              <w:rPr>
                <w:sz w:val="24"/>
              </w:rPr>
              <w:t>-0.0068</w:t>
            </w:r>
          </w:p>
        </w:tc>
      </w:tr>
    </w:tbl>
    <w:p/>
    <w:p/>
    <w:p>
      <w:pPr>
        <w:spacing w:after="80"/>
      </w:pPr>
      <w:r>
        <w:rPr>
          <w:sz w:val="24"/>
        </w:rPr>
        <w:t>Пояснение. DBR стабильно сохраняет высокий охват и подавляет ошибки разбора; изменения остальных дефектов умеренные.</w:t>
      </w:r>
    </w:p>
    <w:p/>
    <w:p>
      <w:pPr>
        <w:spacing w:after="80"/>
      </w:pPr>
      <w:r>
        <w:rPr>
          <w:sz w:val="24"/>
        </w:rPr>
        <w:t>Сокращения: дельта «после − до» считается относительно пула кандидатов в том же поколении.</w:t>
      </w:r>
    </w:p>
    <w:p/>
    <w:p>
      <w:pPr>
        <w:spacing w:before="180" w:after="100"/>
      </w:pPr>
      <w:r>
        <w:rPr>
          <w:b/>
          <w:sz w:val="27"/>
        </w:rPr>
        <w:t>7.3. Итоговые эффекты DBR на Gen2</w:t>
      </w:r>
    </w:p>
    <w:p>
      <w:pPr>
        <w:spacing w:before="180" w:after="100"/>
      </w:pPr>
      <w:r>
        <w:rPr>
          <w:b/>
          <w:sz w:val="27"/>
        </w:rPr>
        <w:t>Таблица 4. Итоговые эффекты DBR на Gen2 (дельта DBR − обычное рециклирование)</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Серия</w:t>
            </w:r>
          </w:p>
        </w:tc>
        <w:tc>
          <w:tcPr>
            <w:tcW w:w="1805" w:type="dxa"/>
            <w:vAlign w:val="center"/>
            <w:shd w:val="clear" w:color="auto" w:fill="F2F2F2"/>
          </w:tcPr>
          <w:p>
            <w:pPr>
              <w:spacing w:before="40" w:after="40"/>
            </w:pPr>
            <w:r>
              <w:rPr>
                <w:b/>
                <w:sz w:val="24"/>
              </w:rPr>
              <w:t>Метрика</w:t>
            </w:r>
          </w:p>
        </w:tc>
        <w:tc>
          <w:tcPr>
            <w:tcW w:w="1805" w:type="dxa"/>
            <w:vAlign w:val="center"/>
            <w:shd w:val="clear" w:color="auto" w:fill="F2F2F2"/>
          </w:tcPr>
          <w:p>
            <w:pPr>
              <w:spacing w:before="40" w:after="40"/>
            </w:pPr>
            <w:r>
              <w:rPr>
                <w:b/>
                <w:sz w:val="24"/>
              </w:rPr>
              <w:t>Средняя дельта</w:t>
            </w:r>
          </w:p>
        </w:tc>
        <w:tc>
          <w:tcPr>
            <w:tcW w:w="1805" w:type="dxa"/>
            <w:vAlign w:val="center"/>
            <w:shd w:val="clear" w:color="auto" w:fill="F2F2F2"/>
          </w:tcPr>
          <w:p>
            <w:pPr>
              <w:spacing w:before="40" w:after="40"/>
            </w:pPr>
            <w:r>
              <w:rPr>
                <w:b/>
                <w:sz w:val="24"/>
              </w:rPr>
              <w:t>Стандартное отклонение</w:t>
            </w:r>
          </w:p>
        </w:tc>
        <w:tc>
          <w:tcPr>
            <w:tcW w:w="1805" w:type="dxa"/>
            <w:vAlign w:val="center"/>
            <w:shd w:val="clear" w:color="auto" w:fill="F2F2F2"/>
          </w:tcPr>
          <w:p>
            <w:pPr>
              <w:spacing w:before="40" w:after="40"/>
            </w:pPr>
            <w:r>
              <w:rPr>
                <w:b/>
                <w:sz w:val="24"/>
              </w:rPr>
              <w:t>95% ДИ</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+0.0625</w:t>
            </w:r>
          </w:p>
        </w:tc>
        <w:tc>
          <w:tcPr>
            <w:tcW w:w="1805" w:type="dxa"/>
            <w:vAlign w:val="center"/>
          </w:tcPr>
          <w:p>
            <w:pPr>
              <w:spacing w:before="40" w:after="40"/>
            </w:pPr>
            <w:r>
              <w:rPr>
                <w:sz w:val="24"/>
              </w:rPr>
              <w:t>0.1121</w:t>
            </w:r>
          </w:p>
        </w:tc>
        <w:tc>
          <w:tcPr>
            <w:tcW w:w="1805" w:type="dxa"/>
            <w:vAlign w:val="center"/>
          </w:tcPr>
          <w:p>
            <w:pPr>
              <w:spacing w:before="40" w:after="40"/>
            </w:pPr>
            <w:r>
              <w:rPr>
                <w:sz w:val="24"/>
              </w:rPr>
              <w:t>[-0.0644; +0.1894]</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+0.1461</w:t>
            </w:r>
          </w:p>
        </w:tc>
        <w:tc>
          <w:tcPr>
            <w:tcW w:w="1805" w:type="dxa"/>
            <w:vAlign w:val="center"/>
          </w:tcPr>
          <w:p>
            <w:pPr>
              <w:spacing w:before="40" w:after="40"/>
            </w:pPr>
            <w:r>
              <w:rPr>
                <w:sz w:val="24"/>
              </w:rPr>
              <w:t>0.6935</w:t>
            </w:r>
          </w:p>
        </w:tc>
        <w:tc>
          <w:tcPr>
            <w:tcW w:w="1805" w:type="dxa"/>
            <w:vAlign w:val="center"/>
          </w:tcPr>
          <w:p>
            <w:pPr>
              <w:spacing w:before="40" w:after="40"/>
            </w:pPr>
            <w:r>
              <w:rPr>
                <w:sz w:val="24"/>
              </w:rPr>
              <w:t>[-0.6387; +0.9309]</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-0.0636</w:t>
            </w:r>
          </w:p>
        </w:tc>
        <w:tc>
          <w:tcPr>
            <w:tcW w:w="1805" w:type="dxa"/>
            <w:vAlign w:val="center"/>
          </w:tcPr>
          <w:p>
            <w:pPr>
              <w:spacing w:before="40" w:after="40"/>
            </w:pPr>
            <w:r>
              <w:rPr>
                <w:sz w:val="24"/>
              </w:rPr>
              <w:t>0.0512</w:t>
            </w:r>
          </w:p>
        </w:tc>
        <w:tc>
          <w:tcPr>
            <w:tcW w:w="1805" w:type="dxa"/>
            <w:vAlign w:val="center"/>
          </w:tcPr>
          <w:p>
            <w:pPr>
              <w:spacing w:before="40" w:after="40"/>
            </w:pPr>
            <w:r>
              <w:rPr>
                <w:sz w:val="24"/>
              </w:rPr>
              <w:t>[-0.1216; -0.0057]</w:t>
            </w:r>
          </w:p>
        </w:tc>
      </w:tr>
      <w:tr>
        <w:tc>
          <w:tcPr>
            <w:tcW w:w="1805" w:type="dxa"/>
            <w:vAlign w:val="center"/>
          </w:tcPr>
          <w:p>
            <w:pPr>
              <w:spacing w:before="40" w:after="40"/>
            </w:pPr>
            <w:r>
              <w:rPr>
                <w:sz w:val="24"/>
              </w:rPr>
              <w:t>221–223 (DBR-only)</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+0.0333</w:t>
            </w:r>
          </w:p>
        </w:tc>
        <w:tc>
          <w:tcPr>
            <w:tcW w:w="1805" w:type="dxa"/>
            <w:vAlign w:val="center"/>
          </w:tcPr>
          <w:p>
            <w:pPr>
              <w:spacing w:before="40" w:after="40"/>
            </w:pPr>
            <w:r>
              <w:rPr>
                <w:sz w:val="24"/>
              </w:rPr>
              <w:t>0.0321</w:t>
            </w:r>
          </w:p>
        </w:tc>
        <w:tc>
          <w:tcPr>
            <w:tcW w:w="1805" w:type="dxa"/>
            <w:vAlign w:val="center"/>
          </w:tcPr>
          <w:p>
            <w:pPr>
              <w:spacing w:before="40" w:after="40"/>
            </w:pPr>
            <w:r>
              <w:rPr>
                <w:sz w:val="24"/>
              </w:rPr>
              <w:t>[-0.0030; +0.0697]</w:t>
            </w:r>
          </w:p>
        </w:tc>
      </w:tr>
      <w:tr>
        <w:tc>
          <w:tcPr>
            <w:tcW w:w="1805" w:type="dxa"/>
            <w:vAlign w:val="center"/>
          </w:tcPr>
          <w:p>
            <w:pPr>
              <w:spacing w:before="40" w:after="40"/>
            </w:pPr>
            <w:r>
              <w:rPr>
                <w:sz w:val="24"/>
              </w:rPr>
              <w:t>221–223 (DBR-only)</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+0.0200</w:t>
            </w:r>
          </w:p>
        </w:tc>
        <w:tc>
          <w:tcPr>
            <w:tcW w:w="1805" w:type="dxa"/>
            <w:vAlign w:val="center"/>
          </w:tcPr>
          <w:p>
            <w:pPr>
              <w:spacing w:before="40" w:after="40"/>
            </w:pPr>
            <w:r>
              <w:rPr>
                <w:sz w:val="24"/>
              </w:rPr>
              <w:t>0.4649</w:t>
            </w:r>
          </w:p>
        </w:tc>
        <w:tc>
          <w:tcPr>
            <w:tcW w:w="1805" w:type="dxa"/>
            <w:vAlign w:val="center"/>
          </w:tcPr>
          <w:p>
            <w:pPr>
              <w:spacing w:before="40" w:after="40"/>
            </w:pPr>
            <w:r>
              <w:rPr>
                <w:sz w:val="24"/>
              </w:rPr>
              <w:t>[-0.5060; +0.5460]</w:t>
            </w:r>
          </w:p>
        </w:tc>
      </w:tr>
      <w:tr>
        <w:tc>
          <w:tcPr>
            <w:tcW w:w="1805" w:type="dxa"/>
            <w:vAlign w:val="center"/>
          </w:tcPr>
          <w:p>
            <w:pPr>
              <w:spacing w:before="40" w:after="40"/>
            </w:pPr>
            <w:r>
              <w:rPr>
                <w:sz w:val="24"/>
              </w:rPr>
              <w:t>221–223 (DBR-only)</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+0.0267</w:t>
            </w:r>
          </w:p>
        </w:tc>
        <w:tc>
          <w:tcPr>
            <w:tcW w:w="1805" w:type="dxa"/>
            <w:vAlign w:val="center"/>
          </w:tcPr>
          <w:p>
            <w:pPr>
              <w:spacing w:before="40" w:after="40"/>
            </w:pPr>
            <w:r>
              <w:rPr>
                <w:sz w:val="24"/>
              </w:rPr>
              <w:t>0.0473</w:t>
            </w:r>
          </w:p>
        </w:tc>
        <w:tc>
          <w:tcPr>
            <w:tcW w:w="1805" w:type="dxa"/>
            <w:vAlign w:val="center"/>
          </w:tcPr>
          <w:p>
            <w:pPr>
              <w:spacing w:before="40" w:after="40"/>
            </w:pPr>
            <w:r>
              <w:rPr>
                <w:sz w:val="24"/>
              </w:rPr>
              <w:t>[-0.0268; +0.0801]</w:t>
            </w:r>
          </w:p>
        </w:tc>
      </w:tr>
    </w:tbl>
    <w:p/>
    <w:p/>
    <w:p>
      <w:pPr>
        <w:spacing w:after="80"/>
      </w:pPr>
      <w:r>
        <w:rPr>
          <w:sz w:val="24"/>
        </w:rPr>
        <w:t>Пояснение. Положительная дельта доли скрытых ошибок означает ухудшение, отрицательная — улучшение.</w:t>
      </w:r>
    </w:p>
    <w:p/>
    <w:p>
      <w:pPr>
        <w:spacing w:after="80"/>
      </w:pPr>
      <w:r>
        <w:rPr>
          <w:sz w:val="24"/>
        </w:rPr>
        <w:t>Сокращения: ДИ — доверительный интервал.</w:t>
      </w:r>
    </w:p>
    <w:p/>
    <w:p>
      <w:pPr>
        <w:spacing w:after="80"/>
      </w:pPr>
      <w:r>
        <w:rPr>
          <w:sz w:val="24"/>
        </w:rPr>
        <w:t>В серии 211–213 наблюдается более выраженный положительный сигнал DBR, тогда как в DBR-only серии 221–223 эффект более сдержанный и частично смешанный. Это является основанием для аккуратной интерпретации, а не для утверждения универсального выигрыша DBR по всем итоговым метрикам.</w:t>
      </w:r>
    </w:p>
    <w:p/>
    <w:p>
      <w:pPr>
        <w:spacing w:before="180" w:after="100"/>
      </w:pPr>
      <w:r>
        <w:rPr>
          <w:b/>
          <w:sz w:val="27"/>
        </w:rPr>
        <w:t>7.4. Интерпретация итоговых исходов DBR</w:t>
      </w:r>
    </w:p>
    <w:p>
      <w:pPr>
        <w:spacing w:after="80"/>
      </w:pPr>
      <w:r>
        <w:rPr>
          <w:sz w:val="24"/>
        </w:rPr>
        <w:t>Наиболее устойчивые эффекты DBR относятся к механизму отбора: высокое покрытие и подавление ошибок разбора. Эффекты по педагогической оценке и скрытым ошибкам зависят от серии и seed, что указывает на необходимость дальнейшей проверки на более широких выборках.</w:t>
      </w:r>
    </w:p>
    <w:p/>
    <w:p>
      <w:pPr>
        <w:spacing w:before="220" w:after="120"/>
      </w:pPr>
      <w:r>
        <w:rPr>
          <w:b/>
          <w:sz w:val="30"/>
        </w:rPr>
        <w:t>8. Дополнительный контрастивный анализ CSR</w:t>
      </w:r>
    </w:p>
    <w:p>
      <w:pPr>
        <w:spacing w:before="180" w:after="100"/>
      </w:pPr>
      <w:r>
        <w:rPr>
          <w:b/>
          <w:sz w:val="27"/>
        </w:rPr>
        <w:t>Таблица 5. Контрастивный педагогический сигнал CSR</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Вариант CSR</w:t>
            </w:r>
          </w:p>
        </w:tc>
        <w:tc>
          <w:tcPr>
            <w:tcW w:w="1805" w:type="dxa"/>
            <w:vAlign w:val="center"/>
            <w:shd w:val="clear" w:color="auto" w:fill="F2F2F2"/>
          </w:tcPr>
          <w:p>
            <w:pPr>
              <w:spacing w:before="40" w:after="40"/>
            </w:pPr>
            <w:r>
              <w:rPr>
                <w:b/>
                <w:sz w:val="24"/>
              </w:rPr>
              <w:t>Средняя доля построенных пар</w:t>
            </w:r>
          </w:p>
        </w:tc>
        <w:tc>
          <w:tcPr>
            <w:tcW w:w="1805" w:type="dxa"/>
            <w:vAlign w:val="center"/>
            <w:shd w:val="clear" w:color="auto" w:fill="F2F2F2"/>
          </w:tcPr>
          <w:p>
            <w:pPr>
              <w:spacing w:before="40" w:after="40"/>
            </w:pPr>
            <w:r>
              <w:rPr>
                <w:b/>
                <w:sz w:val="24"/>
              </w:rPr>
              <w:t>Средний разрыв качества (best − worst)</w:t>
            </w:r>
          </w:p>
        </w:tc>
        <w:tc>
          <w:tcPr>
            <w:tcW w:w="1805" w:type="dxa"/>
            <w:vAlign w:val="center"/>
            <w:shd w:val="clear" w:color="auto" w:fill="F2F2F2"/>
          </w:tcPr>
          <w:p>
            <w:pPr>
              <w:spacing w:before="40" w:after="40"/>
            </w:pPr>
            <w:r>
              <w:rPr>
                <w:b/>
                <w:sz w:val="24"/>
              </w:rPr>
              <w:t>Точность лучшего ответа</w:t>
            </w:r>
          </w:p>
        </w:tc>
        <w:tc>
          <w:tcPr>
            <w:tcW w:w="1805" w:type="dxa"/>
            <w:vAlign w:val="center"/>
            <w:shd w:val="clear" w:color="auto" w:fill="F2F2F2"/>
          </w:tcPr>
          <w:p>
            <w:pPr>
              <w:spacing w:before="40" w:after="40"/>
            </w:pPr>
            <w:r>
              <w:rPr>
                <w:b/>
                <w:sz w:val="24"/>
              </w:rPr>
              <w:t>Доля скрытых ошибок в лучшем ответе</w:t>
            </w:r>
          </w:p>
        </w:tc>
      </w:tr>
      <w:tr>
        <w:tc>
          <w:tcPr>
            <w:tcW w:w="1805" w:type="dxa"/>
            <w:vAlign w:val="center"/>
          </w:tcPr>
          <w:p>
            <w:pPr>
              <w:spacing w:before="40" w:after="40"/>
            </w:pPr>
            <w:r>
              <w:rPr>
                <w:sz w:val="24"/>
              </w:rPr>
              <w:t>k=3</w:t>
            </w:r>
          </w:p>
        </w:tc>
        <w:tc>
          <w:tcPr>
            <w:tcW w:w="1805" w:type="dxa"/>
            <w:vAlign w:val="center"/>
          </w:tcPr>
          <w:p>
            <w:pPr>
              <w:spacing w:before="40" w:after="40"/>
            </w:pPr>
            <w:r>
              <w:rPr>
                <w:sz w:val="24"/>
              </w:rPr>
              <w:t>0.5111</w:t>
            </w:r>
          </w:p>
        </w:tc>
        <w:tc>
          <w:tcPr>
            <w:tcW w:w="1805" w:type="dxa"/>
            <w:vAlign w:val="center"/>
          </w:tcPr>
          <w:p>
            <w:pPr>
              <w:spacing w:before="40" w:after="40"/>
            </w:pPr>
            <w:r>
              <w:rPr>
                <w:sz w:val="24"/>
              </w:rPr>
              <w:t>5.3968</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r>
        <w:tc>
          <w:tcPr>
            <w:tcW w:w="1805" w:type="dxa"/>
            <w:vAlign w:val="center"/>
          </w:tcPr>
          <w:p>
            <w:pPr>
              <w:spacing w:before="40" w:after="40"/>
            </w:pPr>
            <w:r>
              <w:rPr>
                <w:sz w:val="24"/>
              </w:rPr>
              <w:t>k=5</w:t>
            </w:r>
          </w:p>
        </w:tc>
        <w:tc>
          <w:tcPr>
            <w:tcW w:w="1805" w:type="dxa"/>
            <w:vAlign w:val="center"/>
          </w:tcPr>
          <w:p>
            <w:pPr>
              <w:spacing w:before="40" w:after="40"/>
            </w:pPr>
            <w:r>
              <w:rPr>
                <w:sz w:val="24"/>
              </w:rPr>
              <w:t>0.5889</w:t>
            </w:r>
          </w:p>
        </w:tc>
        <w:tc>
          <w:tcPr>
            <w:tcW w:w="1805" w:type="dxa"/>
            <w:vAlign w:val="center"/>
          </w:tcPr>
          <w:p>
            <w:pPr>
              <w:spacing w:before="40" w:after="40"/>
            </w:pPr>
            <w:r>
              <w:rPr>
                <w:sz w:val="24"/>
              </w:rPr>
              <w:t>5.8029</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bl>
    <w:p/>
    <w:p/>
    <w:p>
      <w:pPr>
        <w:spacing w:after="80"/>
      </w:pPr>
      <w:r>
        <w:rPr>
          <w:sz w:val="24"/>
        </w:rPr>
        <w:t>Пояснение. CSR показывает, что одна и та же модель часто даёт как сильные, так и слабые объяснения для одной задачи, то есть создаёт пригодный контрастный педагогический сигнал.</w:t>
      </w:r>
    </w:p>
    <w:p/>
    <w:p>
      <w:pPr>
        <w:spacing w:after="80"/>
      </w:pPr>
      <w:r>
        <w:rPr>
          <w:sz w:val="24"/>
        </w:rPr>
        <w:t>Сокращения: best/worst — лучший/худший кандидат в паре.</w:t>
      </w:r>
    </w:p>
    <w:p/>
    <w:p>
      <w:pPr>
        <w:spacing w:after="80"/>
      </w:pPr>
      <w:r>
        <w:rPr>
          <w:sz w:val="24"/>
        </w:rPr>
        <w:t>CSR в текущей постановке следует трактовать как дополнительный диагностический анализ механизма, а не как главный итоговый метод.</w:t>
      </w:r>
    </w:p>
    <w:p/>
    <w:p>
      <w:pPr>
        <w:spacing w:before="220" w:after="120"/>
      </w:pPr>
      <w:r>
        <w:rPr>
          <w:b/>
          <w:sz w:val="30"/>
        </w:rPr>
        <w:t>9. Проверка надёжности и воспроизводимости</w:t>
      </w:r>
    </w:p>
    <w:p>
      <w:pPr>
        <w:spacing w:before="180" w:after="100"/>
      </w:pPr>
      <w:r>
        <w:rPr>
          <w:b/>
          <w:sz w:val="27"/>
        </w:rPr>
        <w:t>9.1. Парная проверка Qwen3-235B</w:t>
      </w:r>
    </w:p>
    <w:p>
      <w:pPr>
        <w:spacing w:after="80"/>
      </w:pPr>
      <w:r>
        <w:rPr>
          <w:sz w:val="24"/>
        </w:rPr>
        <w:t>В парной проверке было выбрано 48 пар, успешно оценено 39. Доли исходов составили: DBR 0.3333, обычное рециклирование 0.2051, ничья 0.4615; перевес DBR +0.1282. Этот результат частично поддерживает направление в пользу DBR, но высокая доля ничьих ограничивает силу вывода.</w:t>
      </w:r>
    </w:p>
    <w:p/>
    <w:p>
      <w:pPr>
        <w:spacing w:before="180" w:after="100"/>
      </w:pPr>
      <w:r>
        <w:rPr>
          <w:b/>
          <w:sz w:val="27"/>
        </w:rPr>
        <w:t>9.2. Ручная качественная проверка</w:t>
      </w:r>
    </w:p>
    <w:p>
      <w:pPr>
        <w:spacing w:after="80"/>
      </w:pPr>
      <w:r>
        <w:rPr>
          <w:sz w:val="24"/>
        </w:rPr>
        <w:t>Ручной просмотр 35 пар использовался как качественная проверка содержательной приемлемости автоматических предпочтений. Формализованные метки не были сохранены, поэтому этот этап не рассматривается как полноценная экспертная разметка.</w:t>
      </w:r>
    </w:p>
    <w:p/>
    <w:p>
      <w:pPr>
        <w:spacing w:before="180" w:after="100"/>
      </w:pPr>
      <w:r>
        <w:rPr>
          <w:b/>
          <w:sz w:val="27"/>
        </w:rPr>
        <w:t>9.3. Пересчёт и аудит согласованности</w:t>
      </w:r>
    </w:p>
    <w:p>
      <w:pPr>
        <w:spacing w:after="80"/>
      </w:pPr>
      <w:r>
        <w:rPr>
          <w:sz w:val="24"/>
        </w:rPr>
        <w:t>Ключевые выводы основаны на пересчитанных из построчных данных таблицах. Известные legacy-несовпадения старых сводок не использовались для утверждений, несущих научную нагрузку.</w:t>
      </w:r>
    </w:p>
    <w:p/>
    <w:p>
      <w:pPr>
        <w:spacing w:before="220" w:after="120"/>
      </w:pPr>
      <w:r>
        <w:rPr>
          <w:b/>
          <w:sz w:val="30"/>
        </w:rPr>
        <w:t>10. Обсуждение</w:t>
      </w:r>
    </w:p>
    <w:p>
      <w:pPr>
        <w:spacing w:after="80"/>
      </w:pPr>
      <w:r>
        <w:rPr>
          <w:sz w:val="24"/>
        </w:rPr>
        <w:t>Работа подтверждает, что качество синтетических образовательных объяснений нельзя сводить только к точности ответа. Дефектная нагрузка сохраняется и может накапливаться даже при немонотонной динамике отдельных средних показателей.</w:t>
      </w:r>
    </w:p>
    <w:p/>
    <w:p>
      <w:pPr>
        <w:spacing w:after="80"/>
      </w:pPr>
      <w:r>
        <w:rPr>
          <w:sz w:val="24"/>
        </w:rPr>
        <w:t>DBR является сильным простым методом контроля дефектов в данной серии экспериментов: он сохраняет высокий охват и надёжно подавляет ошибки разбора. При этом итоговые эффекты по педагогической оценке и скрытым ошибкам остаются чувствительными к серии и seed.</w:t>
      </w:r>
    </w:p>
    <w:p/>
    <w:p>
      <w:pPr>
        <w:spacing w:after="80"/>
      </w:pPr>
      <w:r>
        <w:rPr>
          <w:sz w:val="24"/>
        </w:rPr>
        <w:t>Таким образом, DBR не является окончательным решением дидактического коллапса, но является лучшим простым методом контроля дефектов среди проверенных в данной работе.</w:t>
      </w:r>
    </w:p>
    <w:p/>
    <w:p>
      <w:pPr>
        <w:spacing w:after="80"/>
      </w:pPr>
      <w:r>
        <w:rPr>
          <w:sz w:val="24"/>
        </w:rPr>
        <w:t>CSR важен как механистическое свидетельство: модель способна порождать контрастные по качеству объяснения для одной и той же задачи. Это поддерживает гипотезу о ключевой роли процедуры отбора при повторном использовании синтетических объяснений.</w:t>
      </w:r>
    </w:p>
    <w:p/>
    <w:p>
      <w:pPr>
        <w:spacing w:before="220" w:after="120"/>
      </w:pPr>
      <w:r>
        <w:rPr>
          <w:b/>
          <w:sz w:val="30"/>
        </w:rPr>
        <w:t>11. Ограничения</w:t>
      </w:r>
    </w:p>
    <w:p>
      <w:pPr>
        <w:ind w:left="720" w:hanging="360"/>
        <w:spacing w:after="70"/>
      </w:pPr>
      <w:r>
        <w:rPr>
          <w:sz w:val="24"/>
        </w:rPr>
        <w:t>• Постановка ограничена режимом inference_recycling_only и не эквивалентна полному дообучению.</w:t>
      </w:r>
    </w:p>
    <w:p>
      <w:pPr>
        <w:ind w:left="720" w:hanging="360"/>
        <w:spacing w:after="70"/>
      </w:pPr>
      <w:r>
        <w:rPr>
          <w:sz w:val="24"/>
        </w:rPr>
        <w:t>• Основная оценка зависит от автоматического судьи и требует расширенной экспертной валидации.</w:t>
      </w:r>
    </w:p>
    <w:p>
      <w:pPr>
        <w:ind w:left="720" w:hanging="360"/>
        <w:spacing w:after="70"/>
      </w:pPr>
      <w:r>
        <w:rPr>
          <w:sz w:val="24"/>
        </w:rPr>
        <w:t>• Для ряда эффектов интервалы широкие, наблюдается чувствительность к seed.</w:t>
      </w:r>
    </w:p>
    <w:p>
      <w:pPr>
        <w:ind w:left="720" w:hanging="360"/>
        <w:spacing w:after="70"/>
      </w:pPr>
      <w:r>
        <w:rPr>
          <w:sz w:val="24"/>
        </w:rPr>
        <w:t>• Ручная проверка 35 пар носит качественный, а не формализованный характер.</w:t>
      </w:r>
    </w:p>
    <w:p>
      <w:pPr>
        <w:ind w:left="720" w:hanging="360"/>
        <w:spacing w:after="70"/>
      </w:pPr>
      <w:r>
        <w:rPr>
          <w:sz w:val="24"/>
        </w:rPr>
        <w:t>• DBR контролирует распространение дефектов, но не исправляет сами объяснения.</w:t>
      </w:r>
    </w:p>
    <w:p/>
    <w:p>
      <w:pPr>
        <w:spacing w:before="220" w:after="120"/>
      </w:pPr>
      <w:r>
        <w:rPr>
          <w:b/>
          <w:sz w:val="30"/>
        </w:rPr>
        <w:t>12. Заключение</w:t>
      </w:r>
    </w:p>
    <w:p>
      <w:pPr>
        <w:spacing w:after="80"/>
      </w:pPr>
      <w:r>
        <w:rPr>
          <w:sz w:val="24"/>
        </w:rPr>
        <w:t>Дидактический коллапс в данной работе интерпретируется как измеримый риск распространения педагогических дефектов при повторном использовании синтетических объяснений. DBR обеспечивает устойчивые механистические преимущества (высокое покрытие и подавление ошибок разбора) и смешанные, но частично положительные итоговые эффекты. CSR подтверждает наличие контрастного педагогического сигнала внутри ответов одной модели. В совокупности результаты поддерживают использование DBR как основного простого метода контроля дефектов в текущей экспериментальной постановке при обязательном сохранении осторожных формулировок.</w:t>
      </w:r>
    </w:p>
    <w:p/>
    <w:p>
      <w:pPr>
        <w:spacing w:before="220" w:after="120"/>
      </w:pPr>
      <w:r>
        <w:rPr>
          <w:b/>
          <w:sz w:val="30"/>
        </w:rPr>
        <w:t>13. Этические замечания</w:t>
      </w:r>
    </w:p>
    <w:p>
      <w:pPr>
        <w:spacing w:after="80"/>
      </w:pPr>
      <w:r>
        <w:rPr>
          <w:sz w:val="24"/>
        </w:rPr>
        <w:t>Скрытые педагогические ошибки в учебных объяснениях могут быть вредны для учащихся. Автоматическая оценка не заменяет полноценную экспертную педагогическую проверку. Представленные методы не должны использоваться как единственный критерий качества образовательного контента.</w:t>
      </w:r>
    </w:p>
    <w:p/>
    <w:p>
      <w:pPr>
        <w:spacing w:before="220" w:after="120"/>
      </w:pPr>
      <w:r>
        <w:rPr>
          <w:b/>
          <w:sz w:val="30"/>
        </w:rPr>
        <w:t>14. Доступность данных и кода</w:t>
      </w:r>
    </w:p>
    <w:p>
      <w:pPr>
        <w:spacing w:after="80"/>
      </w:pPr>
      <w:r>
        <w:rPr>
          <w:sz w:val="24"/>
        </w:rPr>
        <w:t>Код: [ссылка на репозиторий будет добавлена].</w:t>
      </w:r>
    </w:p>
    <w:p>
      <w:pPr>
        <w:spacing w:after="80"/>
      </w:pPr>
      <w:r>
        <w:rPr>
          <w:sz w:val="24"/>
        </w:rPr>
        <w:t>Данные: [ссылка/архив будет добавлен].</w:t>
      </w:r>
    </w:p>
    <w:p>
      <w:pPr>
        <w:spacing w:after="80"/>
      </w:pPr>
      <w:r>
        <w:rPr>
          <w:sz w:val="24"/>
        </w:rPr>
        <w:t>Артефакты экспериментов: [ссылка/архив будет добавлен].</w:t>
      </w:r>
    </w:p>
    <w:p>
      <w:pPr>
        <w:spacing w:after="80"/>
      </w:pPr>
      <w:r>
        <w:rPr>
          <w:sz w:val="24"/>
        </w:rPr>
        <w:t>Скрипты воспроизведения: [будут добавлены].</w:t>
      </w:r>
    </w:p>
    <w:p>
      <w:pPr>
        <w:spacing w:after="80"/>
      </w:pPr>
      <w:r>
        <w:rPr>
          <w:sz w:val="24"/>
        </w:rPr>
        <w:t>Анонимизированные таблицы и агрегированные артефакты могут быть предоставлены по запросу.</w:t>
      </w:r>
    </w:p>
    <w:p/>
    <w:p>
      <w:pPr>
        <w:spacing w:before="220" w:after="120"/>
      </w:pPr>
      <w:r>
        <w:rPr>
          <w:b/>
          <w:sz w:val="30"/>
        </w:rPr>
        <w:t>15. Финансирование</w:t>
      </w:r>
    </w:p>
    <w:p>
      <w:pPr>
        <w:spacing w:after="80"/>
      </w:pPr>
      <w:r>
        <w:rPr>
          <w:sz w:val="24"/>
        </w:rPr>
        <w:t>Финансирование: [уточнить перед подачей; при отсутствии — «исследование выполнено без внешнего финансирования»].</w:t>
      </w:r>
    </w:p>
    <w:p/>
    <w:p>
      <w:pPr>
        <w:spacing w:before="220" w:after="120"/>
      </w:pPr>
      <w:r>
        <w:rPr>
          <w:b/>
          <w:sz w:val="30"/>
        </w:rPr>
        <w:t>16. Конфликт интересов</w:t>
      </w:r>
    </w:p>
    <w:p>
      <w:pPr>
        <w:spacing w:after="80"/>
      </w:pPr>
      <w:r>
        <w:rPr>
          <w:sz w:val="24"/>
        </w:rPr>
        <w:t>Автор заявляет об отсутствии конфликта интересов.</w:t>
      </w:r>
    </w:p>
    <w:p/>
    <w:p>
      <w:pPr>
        <w:spacing w:before="220" w:after="120"/>
      </w:pPr>
      <w:r>
        <w:rPr>
          <w:b/>
          <w:sz w:val="30"/>
        </w:rPr>
        <w:t>17. Благодарности</w:t>
      </w:r>
    </w:p>
    <w:p>
      <w:pPr>
        <w:spacing w:after="80"/>
      </w:pPr>
      <w:r>
        <w:rPr>
          <w:sz w:val="24"/>
        </w:rPr>
        <w:t>Благодарности: [при необходимости добавить].</w:t>
      </w:r>
    </w:p>
    <w:p/>
    <w:p>
      <w:pPr>
        <w:spacing w:before="220" w:after="120"/>
      </w:pPr>
      <w:r>
        <w:rPr>
          <w:b/>
          <w:sz w:val="30"/>
        </w:rPr>
        <w:t>18. Статус основных утверждений</w:t>
      </w:r>
    </w:p>
    <w:p>
      <w:pPr>
        <w:spacing w:before="180" w:after="100"/>
      </w:pPr>
      <w:r>
        <w:rPr>
          <w:b/>
          <w:sz w:val="27"/>
        </w:rPr>
        <w:t>Таблица 6. Статус основных утверждений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Утверждение</w:t>
            </w:r>
          </w:p>
        </w:tc>
        <w:tc>
          <w:tcPr>
            <w:tcW w:w="3008" w:type="dxa"/>
            <w:vAlign w:val="center"/>
            <w:shd w:val="clear" w:color="auto" w:fill="F2F2F2"/>
          </w:tcPr>
          <w:p>
            <w:pPr>
              <w:spacing w:before="40" w:after="40"/>
            </w:pPr>
            <w:r>
              <w:rPr>
                <w:b/>
                <w:sz w:val="24"/>
              </w:rPr>
              <w:t>Статус</w:t>
            </w:r>
          </w:p>
        </w:tc>
        <w:tc>
          <w:tcPr>
            <w:tcW w:w="3008" w:type="dxa"/>
            <w:vAlign w:val="center"/>
            <w:shd w:val="clear" w:color="auto" w:fill="F2F2F2"/>
          </w:tcPr>
          <w:p>
            <w:pPr>
              <w:spacing w:before="40" w:after="40"/>
            </w:pPr>
            <w:r>
              <w:rPr>
                <w:b/>
                <w:sz w:val="24"/>
              </w:rPr>
              <w:t>Основание</w:t>
            </w:r>
          </w:p>
        </w:tc>
      </w:tr>
      <w:tr>
        <w:tc>
          <w:tcPr>
            <w:tcW w:w="3008" w:type="dxa"/>
            <w:vAlign w:val="center"/>
          </w:tcPr>
          <w:p>
            <w:pPr>
              <w:spacing w:before="40" w:after="40"/>
            </w:pPr>
            <w:r>
              <w:rPr>
                <w:sz w:val="24"/>
              </w:rPr>
              <w:t>Дидактический коллапс измерим отдельно от точности</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Метрики точности, педагогики и скрытых ошибок расходятся.</w:t>
            </w:r>
          </w:p>
        </w:tc>
      </w:tr>
      <w:tr>
        <w:tc>
          <w:tcPr>
            <w:tcW w:w="3008" w:type="dxa"/>
            <w:vAlign w:val="center"/>
          </w:tcPr>
          <w:p>
            <w:pPr>
              <w:spacing w:before="40" w:after="40"/>
            </w:pPr>
            <w:r>
              <w:rPr>
                <w:sz w:val="24"/>
              </w:rPr>
              <w:t>Обычное рециклирование всегда монотонно ухудшается</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В разных сериях знаки дельт смешанные.</w:t>
            </w:r>
          </w:p>
        </w:tc>
      </w:tr>
      <w:tr>
        <w:tc>
          <w:tcPr>
            <w:tcW w:w="3008" w:type="dxa"/>
            <w:vAlign w:val="center"/>
          </w:tcPr>
          <w:p>
            <w:pPr>
              <w:spacing w:before="40" w:after="40"/>
            </w:pPr>
            <w:r>
              <w:rPr>
                <w:sz w:val="24"/>
              </w:rPr>
              <w:t>Обычное рециклирование несёт риск распространения дефектов</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Ненулевая дефектная нагрузка сохраняется по поколениям.</w:t>
            </w:r>
          </w:p>
        </w:tc>
      </w:tr>
      <w:tr>
        <w:tc>
          <w:tcPr>
            <w:tcW w:w="3008" w:type="dxa"/>
            <w:vAlign w:val="center"/>
          </w:tcPr>
          <w:p>
            <w:pPr>
              <w:spacing w:before="40" w:after="40"/>
            </w:pPr>
            <w:r>
              <w:rPr>
                <w:sz w:val="24"/>
              </w:rPr>
              <w:t>DBR сохраняет покрытие</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Среднее покрытие около 96–98%.</w:t>
            </w:r>
          </w:p>
        </w:tc>
      </w:tr>
      <w:tr>
        <w:tc>
          <w:tcPr>
            <w:tcW w:w="3008" w:type="dxa"/>
            <w:vAlign w:val="center"/>
          </w:tcPr>
          <w:p>
            <w:pPr>
              <w:spacing w:before="40" w:after="40"/>
            </w:pPr>
            <w:r>
              <w:rPr>
                <w:sz w:val="24"/>
              </w:rPr>
              <w:t>DBR устраняет ошибки разбора</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Средняя доля ошибок разбора после DBR равна 0.0000.</w:t>
            </w:r>
          </w:p>
        </w:tc>
      </w:tr>
      <w:tr>
        <w:tc>
          <w:tcPr>
            <w:tcW w:w="3008" w:type="dxa"/>
            <w:vAlign w:val="center"/>
          </w:tcPr>
          <w:p>
            <w:pPr>
              <w:spacing w:before="40" w:after="40"/>
            </w:pPr>
            <w:r>
              <w:rPr>
                <w:sz w:val="24"/>
              </w:rPr>
              <w:t>DBR устойчиво улучшает точность</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Средние дельты положительные, но интервалы частично включают ноль.</w:t>
            </w:r>
          </w:p>
        </w:tc>
      </w:tr>
      <w:tr>
        <w:tc>
          <w:tcPr>
            <w:tcW w:w="3008" w:type="dxa"/>
            <w:vAlign w:val="center"/>
          </w:tcPr>
          <w:p>
            <w:pPr>
              <w:spacing w:before="40" w:after="40"/>
            </w:pPr>
            <w:r>
              <w:rPr>
                <w:sz w:val="24"/>
              </w:rPr>
              <w:t>DBR устойчиво улучшает педагогическую оценку</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Положительный сигнал нестабилен между сериями.</w:t>
            </w:r>
          </w:p>
        </w:tc>
      </w:tr>
      <w:tr>
        <w:tc>
          <w:tcPr>
            <w:tcW w:w="3008" w:type="dxa"/>
            <w:vAlign w:val="center"/>
          </w:tcPr>
          <w:p>
            <w:pPr>
              <w:spacing w:before="40" w:after="40"/>
            </w:pPr>
            <w:r>
              <w:rPr>
                <w:sz w:val="24"/>
              </w:rPr>
              <w:t>DBR устойчиво снижает скрытые ошибки</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Направление зависит от серии; в DBR-only возможен рост.</w:t>
            </w:r>
          </w:p>
        </w:tc>
      </w:tr>
      <w:tr>
        <w:tc>
          <w:tcPr>
            <w:tcW w:w="3008" w:type="dxa"/>
            <w:vAlign w:val="center"/>
          </w:tcPr>
          <w:p>
            <w:pPr>
              <w:spacing w:before="40" w:after="40"/>
            </w:pPr>
            <w:r>
              <w:rPr>
                <w:sz w:val="24"/>
              </w:rPr>
              <w:t>Qwen-проверка поддерживает DBR</w:t>
            </w:r>
          </w:p>
        </w:tc>
        <w:tc>
          <w:tcPr>
            <w:tcW w:w="3008" w:type="dxa"/>
            <w:vAlign w:val="center"/>
          </w:tcPr>
          <w:p>
            <w:pPr>
              <w:spacing w:before="40" w:after="40"/>
            </w:pPr>
            <w:r>
              <w:rPr>
                <w:sz w:val="24"/>
              </w:rPr>
              <w:t>частично поддержано</w:t>
            </w:r>
          </w:p>
        </w:tc>
        <w:tc>
          <w:tcPr>
            <w:tcW w:w="3008" w:type="dxa"/>
            <w:vAlign w:val="center"/>
          </w:tcPr>
          <w:p>
            <w:pPr>
              <w:spacing w:before="40" w:after="40"/>
            </w:pPr>
            <w:r>
              <w:rPr>
                <w:sz w:val="24"/>
              </w:rPr>
              <w:t>Положительный перевес DBR при высокой доле ничьих.</w:t>
            </w:r>
          </w:p>
        </w:tc>
      </w:tr>
      <w:tr>
        <w:tc>
          <w:tcPr>
            <w:tcW w:w="3008" w:type="dxa"/>
            <w:vAlign w:val="center"/>
          </w:tcPr>
          <w:p>
            <w:pPr>
              <w:spacing w:before="40" w:after="40"/>
            </w:pPr>
            <w:r>
              <w:rPr>
                <w:sz w:val="24"/>
              </w:rPr>
              <w:t>CSR показывает контрастный педагогический сигнал</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Высокий разрыв качества между лучшим и худшим объяснением.</w:t>
            </w:r>
          </w:p>
        </w:tc>
      </w:tr>
      <w:tr>
        <w:tc>
          <w:tcPr>
            <w:tcW w:w="3008" w:type="dxa"/>
            <w:vAlign w:val="center"/>
          </w:tcPr>
          <w:p>
            <w:pPr>
              <w:spacing w:before="40" w:after="40"/>
            </w:pPr>
            <w:r>
              <w:rPr>
                <w:sz w:val="24"/>
              </w:rPr>
              <w:t>CSR является лучшим итоговым методом</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Branch-level превосходство не подтверждено.</w:t>
            </w:r>
          </w:p>
        </w:tc>
      </w:tr>
    </w:tbl>
    <w:p/>
    <w:p/>
    <w:p>
      <w:pPr>
        <w:spacing w:after="80"/>
      </w:pPr>
      <w:r>
        <w:rPr>
          <w:sz w:val="24"/>
        </w:rPr>
        <w:t>Пояснение. Положительная дельта доли скрытых ошибок означает ухудшение, отрицательная — улучшение.</w:t>
      </w:r>
    </w:p>
    <w:p/>
    <w:p>
      <w:pPr>
        <w:spacing w:before="220" w:after="120"/>
      </w:pPr>
      <w:r>
        <w:rPr>
          <w:b/>
          <w:sz w:val="30"/>
        </w:rPr>
        <w:t>19. Список сокращений</w:t>
      </w:r>
    </w:p>
    <w:p>
      <w:pPr>
        <w:ind w:left="720" w:hanging="360"/>
        <w:spacing w:after="70"/>
      </w:pPr>
      <w:r>
        <w:rPr>
          <w:sz w:val="24"/>
        </w:rPr>
        <w:t>• DBR — дефектно-бюджетное рециклирование.</w:t>
      </w:r>
    </w:p>
    <w:p>
      <w:pPr>
        <w:ind w:left="720" w:hanging="360"/>
        <w:spacing w:after="70"/>
      </w:pPr>
      <w:r>
        <w:rPr>
          <w:sz w:val="24"/>
        </w:rPr>
        <w:t>• CSR — контрастивное саморециклирование.</w:t>
      </w:r>
    </w:p>
    <w:p>
      <w:pPr>
        <w:ind w:left="720" w:hanging="360"/>
        <w:spacing w:after="70"/>
      </w:pPr>
      <w:r>
        <w:rPr>
          <w:sz w:val="24"/>
        </w:rPr>
        <w:t>• Gen0/Gen1/Gen2 — поколения рециклирования.</w:t>
      </w:r>
    </w:p>
    <w:p>
      <w:pPr>
        <w:ind w:left="720" w:hanging="360"/>
        <w:spacing w:after="70"/>
      </w:pPr>
      <w:r>
        <w:rPr>
          <w:sz w:val="24"/>
        </w:rPr>
        <w:t>• seed — случайный запуск.</w:t>
      </w:r>
    </w:p>
    <w:p/>
    <w:p>
      <w:pPr>
        <w:spacing w:before="220" w:after="120"/>
      </w:pPr>
      <w:r>
        <w:rPr>
          <w:b/>
          <w:sz w:val="30"/>
        </w:rPr>
        <w:t>20. Литература</w:t>
      </w:r>
    </w:p>
    <w:p>
      <w:pPr>
        <w:spacing w:after="80"/>
      </w:pPr>
      <w:r>
        <w:rPr>
          <w:sz w:val="24"/>
        </w:rPr>
        <w:t>[1] Работы по деградации синтетических данных и model collapse.</w:t>
      </w:r>
    </w:p>
    <w:p>
      <w:pPr>
        <w:spacing w:after="80"/>
      </w:pPr>
      <w:r>
        <w:rPr>
          <w:sz w:val="24"/>
        </w:rPr>
        <w:t>[2] Работы по фильтрации и курированию синтетических данных.</w:t>
      </w:r>
    </w:p>
    <w:p>
      <w:pPr>
        <w:spacing w:after="80"/>
      </w:pPr>
      <w:r>
        <w:rPr>
          <w:sz w:val="24"/>
        </w:rPr>
        <w:t>[3] Работы по языковым моделям как автоматическим судьям.</w:t>
      </w:r>
    </w:p>
    <w:p>
      <w:pPr>
        <w:spacing w:after="80"/>
      </w:pPr>
      <w:r>
        <w:rPr>
          <w:sz w:val="24"/>
        </w:rPr>
        <w:t>[4] Работы по оценке образовательных объяснений.</w:t>
      </w:r>
    </w:p>
    <w:p>
      <w:pPr>
        <w:spacing w:after="80"/>
      </w:pPr>
      <w:r>
        <w:rPr>
          <w:sz w:val="24"/>
        </w:rPr>
        <w:t>[5] Работы по curriculum learning и data curation.</w:t>
      </w:r>
    </w:p>
    <w:p/>
    <w:p>
      <w:pPr>
        <w:spacing w:after="80"/>
      </w:pPr>
      <w:r>
        <w:rPr>
          <w:sz w:val="24"/>
        </w:rPr>
        <w:t>Требуется заполнить раздел конкретными библиографическими записями перед подачей.</w:t>
      </w:r>
    </w:p>
    <w:p/>
    <w:p>
      <w:pPr>
        <w:spacing w:before="220" w:after="120"/>
      </w:pPr>
      <w:r>
        <w:rPr>
          <w:b/>
          <w:sz w:val="30"/>
        </w:rPr>
        <w:t>21. Приложения</w:t>
      </w:r>
    </w:p>
    <w:p>
      <w:pPr>
        <w:ind w:left="720" w:hanging="360"/>
        <w:spacing w:after="70"/>
      </w:pPr>
      <w:r>
        <w:rPr>
          <w:sz w:val="24"/>
        </w:rPr>
        <w:t>• Приложение A. Подробные экспериментальные таблицы.</w:t>
      </w:r>
    </w:p>
    <w:p>
      <w:pPr>
        <w:ind w:left="720" w:hanging="360"/>
        <w:spacing w:after="70"/>
      </w:pPr>
      <w:r>
        <w:rPr>
          <w:sz w:val="24"/>
        </w:rPr>
        <w:t>• Приложение B. Статус утверждений.</w:t>
      </w:r>
    </w:p>
    <w:p>
      <w:pPr>
        <w:ind w:left="720" w:hanging="360"/>
        <w:spacing w:after="70"/>
      </w:pPr>
      <w:r>
        <w:rPr>
          <w:sz w:val="24"/>
        </w:rPr>
        <w:t>• Приложение C. Воспроизводимость и аудит согласованности.</w:t>
      </w:r>
    </w:p>
    <w:p>
      <w:pPr>
        <w:ind w:left="720" w:hanging="360"/>
        <w:spacing w:after="70"/>
      </w:pPr>
      <w:r>
        <w:rPr>
          <w:sz w:val="24"/>
        </w:rPr>
        <w:t>• Приложение D. Шаблон ручной проверки парных сравнений.</w:t>
      </w:r>
    </w:p>
    <w:sectPr>
      <w:pgSz w:w="11906" w:h="16838"/>
      <w:pgMar w:top="1440" w:right="1440" w:bottom="1440" w:left="1440" w:header="708" w:footer="708" w:gutter="0"/>
    </w:sectPr>
  </w:body>
</w:document>
</file>