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sz w:val="24"/>
        </w:rPr>
        <w:t>﻿# Дидактический коллапс в синтетических образовательных объяснениях: измерение, дефектно-бюджетное рециклирование и контрастивный анализ</w:t>
      </w:r>
    </w:p>
    <w:p/>
    <w:p>
      <w:pPr>
        <w:spacing w:after="80"/>
      </w:pPr>
      <w:r>
        <w:rPr>
          <w:sz w:val="24"/>
        </w:rPr>
        <w:t>[ФИО автора]</w:t>
      </w:r>
    </w:p>
    <w:p>
      <w:pPr>
        <w:spacing w:after="80"/>
      </w:pPr>
      <w:r>
        <w:rPr>
          <w:sz w:val="24"/>
        </w:rPr>
        <w:t>[должность / статус, организация]</w:t>
      </w:r>
    </w:p>
    <w:p>
      <w:pPr>
        <w:spacing w:after="80"/>
      </w:pPr>
      <w:r>
        <w:rPr>
          <w:sz w:val="24"/>
        </w:rPr>
        <w:t>[адрес организации]</w:t>
      </w:r>
    </w:p>
    <w:p>
      <w:pPr>
        <w:spacing w:after="80"/>
      </w:pPr>
      <w:r>
        <w:rPr>
          <w:sz w:val="24"/>
        </w:rPr>
        <w:t>[email]</w:t>
      </w:r>
    </w:p>
    <w:p/>
    <w:p>
      <w:pPr>
        <w:spacing w:before="220" w:after="120"/>
      </w:pPr>
      <w:r>
        <w:rPr>
          <w:b/>
          <w:sz w:val="30"/>
        </w:rPr>
        <w:t>Аннотация</w:t>
      </w:r>
    </w:p>
    <w:p>
      <w:pPr>
        <w:spacing w:after="80"/>
      </w:pPr>
      <w:r>
        <w:rPr>
          <w:sz w:val="24"/>
        </w:rPr>
        <w:t>Актуальность. Повторное использование синтетических образовательных объяснений ускоряет подготовку учебных данных, но может приводить к накоплению педагогически небезопасных примеров. В отличие от подходов, где качество сводится к точности ответа, в данной работе рассматривается риск распространения педагогических дефектов: слабой структуры, слабого рассуждения, ошибок разбора и скрытых вводящих в заблуждение шагов.</w:t>
      </w:r>
    </w:p>
    <w:p/>
    <w:p>
      <w:pPr>
        <w:spacing w:after="80"/>
      </w:pPr>
      <w:r>
        <w:rPr>
          <w:sz w:val="24"/>
        </w:rPr>
        <w:t>Цель. Разработать и проверить воспроизводимую рамку измерения дидактического коллапса и простой метод контроля дефектов при сохранении покрытия данных.</w:t>
      </w:r>
    </w:p>
    <w:p/>
    <w:p>
      <w:pPr>
        <w:spacing w:after="80"/>
      </w:pPr>
      <w:r>
        <w:rPr>
          <w:sz w:val="24"/>
        </w:rPr>
        <w:t>Материалы и методы. Эксперименты выполнены для модели qwen2.5:0.5b в режиме рециклирования без дообучения (inference_recycling_only) на поколениях Gen0–Gen2. Основной метод — дефектно-бюджетное рециклирование (DBR), ограничивающее доли заранее заданных дефектов в следующем поколении. Основная автоматическая оценка проводилась рубричной моделью-судьей Llama 3.1 8B; дополнительно использованы парная проверка Qwen3-235B, пересчет итоговых таблиц из построчных данных и ручной качественный просмотр парных сравнений.</w:t>
      </w:r>
    </w:p>
    <w:p/>
    <w:p>
      <w:pPr>
        <w:spacing w:after="80"/>
      </w:pPr>
      <w:r>
        <w:rPr>
          <w:sz w:val="24"/>
        </w:rPr>
        <w:t>Результаты. DBR сохранял покрытие на уровне около 96–98% и снижал долю ошибок разбора после отбора до 0.0000. В подтверждающей серии 211–213 средняя дельта DBR относительно обычного рециклирования на Gen2 составила: точность +0.0625, педагогическая оценка +0.1461, доля скрытых ошибок -0.0636. В чистой DBR-серии 221–223 эффект оказался более сдержанным: +0.0333, +0.0200 и +0.0267 соответственно. Контрастивное саморециклирование (CSR) не стало устойчиво лучшей ветвью, но показало выраженный контрастный сигнал: доля построенных пар 0.5111 (k=3) и 0.5889 (k=5) при среднем разрыве качества около 5.4–5.8 балла.</w:t>
      </w:r>
    </w:p>
    <w:p/>
    <w:p>
      <w:pPr>
        <w:spacing w:after="80"/>
      </w:pPr>
      <w:r>
        <w:rPr>
          <w:sz w:val="24"/>
        </w:rPr>
        <w:t>Выводы. Дидактический коллапс целесообразно трактовать как риск распространения педагогических дефектов, а не как обязательное монотонное ухудшение каждой метрики в каждом запуске. DBR является лучшим простым методом контроля дефектов среди проверенных в данной работе, но не является окончательным решением. CSR подтверждает наличие внутреннего контрастного педагогического сигнала и значимость процедуры отбора объяснений.</w:t>
      </w:r>
    </w:p>
    <w:p/>
    <w:p>
      <w:pPr>
        <w:spacing w:before="220" w:after="120"/>
      </w:pPr>
      <w:r>
        <w:rPr>
          <w:b/>
          <w:sz w:val="30"/>
        </w:rPr>
        <w:t>Ключевые слова</w:t>
      </w:r>
    </w:p>
    <w:p>
      <w:pPr>
        <w:spacing w:after="80"/>
      </w:pPr>
      <w:r>
        <w:rPr>
          <w:sz w:val="24"/>
        </w:rPr>
        <w:t>дидактический коллапс; синтетические образовательные данные; языковые модели; педагогические дефекты; скрытые педагогические ошибки; дефектно-бюджетное рециклирование; контрастивное саморециклирование; оценка объяснений</w:t>
      </w:r>
    </w:p>
    <w:p/>
    <w:p>
      <w:pPr>
        <w:spacing w:before="220" w:after="120"/>
      </w:pPr>
      <w:r>
        <w:rPr>
          <w:b/>
          <w:sz w:val="30"/>
        </w:rPr>
        <w:t>1. Введение</w:t>
      </w:r>
    </w:p>
    <w:p>
      <w:pPr>
        <w:spacing w:after="80"/>
      </w:pPr>
      <w:r>
        <w:rPr>
          <w:sz w:val="24"/>
        </w:rPr>
        <w:t>Синтетические данные все чаще используются в образовательных задачах, включая генерацию пошаговых объяснений по математике и другим дисциплинам [1]–[4]. Такой подход масштабируем, но при многократном повторном использовании автоматически созданных объяснений возникает риск деградации качества данных, обсуждаемый в работах по «коллапсу» при рекурсивном обучении на синтетике [1]–[3].</w:t>
      </w:r>
    </w:p>
    <w:p/>
    <w:p>
      <w:pPr>
        <w:spacing w:after="80"/>
      </w:pPr>
      <w:r>
        <w:rPr>
          <w:sz w:val="24"/>
        </w:rPr>
        <w:t>Для образовательных объяснений одной точности финального ответа недостаточно. Правильный ответ может сопровождаться плохой учебной подачей: пропущенными шагами, слабой структурой и логическими разрывами [18]–[22]. Обратная ситуация также возможна: внешне убедительное объяснение содержит вводящий в заблуждение ход рассуждения, что особенно критично в учебной среде.</w:t>
      </w:r>
    </w:p>
    <w:p/>
    <w:p>
      <w:pPr>
        <w:spacing w:after="80"/>
      </w:pPr>
      <w:r>
        <w:rPr>
          <w:sz w:val="24"/>
        </w:rPr>
        <w:t>В этой связи в работе используется трактовка дидактического коллапса как риска распространения и закрепления педагогических дефектов при межпоколенческом рециклировании синтетических объяснений. Такая трактовка не требует монотонного ухудшения всех агрегированных метрик в каждом запуске, но требует фиксировать и контролировать дефектный профиль данных.</w:t>
      </w:r>
    </w:p>
    <w:p/>
    <w:p>
      <w:pPr>
        <w:spacing w:after="80"/>
      </w:pPr>
      <w:r>
        <w:rPr>
          <w:sz w:val="24"/>
        </w:rPr>
        <w:t>Цель работы — разработать и проверить рамку измерения дидактического коллапса и простой метод контроля педагогических дефектов при повторном использовании синтетических объяснений.</w:t>
      </w:r>
    </w:p>
    <w:p/>
    <w:p>
      <w:pPr>
        <w:spacing w:after="80"/>
      </w:pPr>
      <w:r>
        <w:rPr>
          <w:sz w:val="24"/>
        </w:rPr>
        <w:t>Задачи работы:</w:t>
      </w:r>
    </w:p>
    <w:p>
      <w:pPr>
        <w:spacing w:after="80"/>
      </w:pPr>
      <w:r>
        <w:rPr>
          <w:sz w:val="24"/>
        </w:rPr>
        <w:t>1. Задать метрики, разделяющие точность ответа, педагогическое качество и дефектные признаки объяснения.</w:t>
      </w:r>
    </w:p>
    <w:p>
      <w:pPr>
        <w:spacing w:after="80"/>
      </w:pPr>
      <w:r>
        <w:rPr>
          <w:sz w:val="24"/>
        </w:rPr>
        <w:t>2. Реализовать дефектно-бюджетное рециклирование (DBR) как метод курирования следующего поколения.</w:t>
      </w:r>
    </w:p>
    <w:p>
      <w:pPr>
        <w:spacing w:after="80"/>
      </w:pPr>
      <w:r>
        <w:rPr>
          <w:sz w:val="24"/>
        </w:rPr>
        <w:t>3. Сравнить DBR с обычным рециклированием на нескольких экспериментальных сериях.</w:t>
      </w:r>
    </w:p>
    <w:p>
      <w:pPr>
        <w:spacing w:after="80"/>
      </w:pPr>
      <w:r>
        <w:rPr>
          <w:sz w:val="24"/>
        </w:rPr>
        <w:t>4. Оценить устойчивость выводов с помощью дополнительной парной проверки более сильной моделью-судьей.</w:t>
      </w:r>
    </w:p>
    <w:p>
      <w:pPr>
        <w:spacing w:after="80"/>
      </w:pPr>
      <w:r>
        <w:rPr>
          <w:sz w:val="24"/>
        </w:rPr>
        <w:t>5. Выполнить контрастивный анализ CSR для проверки наличия внутреннего педагогического контраста ответов одной модели.</w:t>
      </w:r>
    </w:p>
    <w:p/>
    <w:p>
      <w:pPr>
        <w:spacing w:after="80"/>
      </w:pPr>
      <w:r>
        <w:rPr>
          <w:sz w:val="24"/>
        </w:rPr>
        <w:t>Научная новизна работы состоит в том, что дидактический коллапс операционализируется как распространение педагогических дефектов, а не как обычное падение точности; предложен метод дефектного бюджетирования при сохранении покрытия данных; показан контрастный педагогический сигнал внутри ответов одной и той же модели.</w:t>
      </w:r>
    </w:p>
    <w:p/>
    <w:p>
      <w:pPr>
        <w:spacing w:before="220" w:after="120"/>
      </w:pPr>
      <w:r>
        <w:rPr>
          <w:b/>
          <w:sz w:val="30"/>
        </w:rPr>
        <w:t>2. Постановка задачи и определения</w:t>
      </w:r>
    </w:p>
    <w:p>
      <w:pPr>
        <w:spacing w:before="180" w:after="100"/>
      </w:pPr>
      <w:r>
        <w:rPr>
          <w:b/>
          <w:sz w:val="27"/>
        </w:rPr>
        <w:t>2.1. Основные определения</w:t>
      </w:r>
    </w:p>
    <w:p>
      <w:pPr>
        <w:spacing w:after="80"/>
      </w:pPr>
      <w:r>
        <w:rPr>
          <w:sz w:val="24"/>
        </w:rPr>
        <w:t>Синтетическое образовательное объяснение — сгенерированный моделью текст решения учебной задачи, включающий рассуждение и финальный ответ.</w:t>
      </w:r>
    </w:p>
    <w:p/>
    <w:p>
      <w:pPr>
        <w:spacing w:after="80"/>
      </w:pPr>
      <w:r>
        <w:rPr>
          <w:sz w:val="24"/>
        </w:rPr>
        <w:t>Поколение рециклирования — итерация цикла «генерация → оценка → отбор → формирование следующего набора» (Gen0, Gen1, Gen2).</w:t>
      </w:r>
    </w:p>
    <w:p/>
    <w:p>
      <w:pPr>
        <w:spacing w:after="80"/>
      </w:pPr>
      <w:r>
        <w:rPr>
          <w:sz w:val="24"/>
        </w:rPr>
        <w:t>Дидактический дефект — измеряемое свойство объяснения, снижающее его учебную полезность (например, слабая структура, слабое рассуждение, ошибка разбора ответа).</w:t>
      </w:r>
    </w:p>
    <w:p/>
    <w:p>
      <w:pPr>
        <w:spacing w:after="80"/>
      </w:pPr>
      <w:r>
        <w:rPr>
          <w:sz w:val="24"/>
        </w:rPr>
        <w:t>Скрытая педагогическая ошибка — объяснение с потенциально вводящим в заблуждение шагом рассуждения, который не всегда отражается в бинарной метке корректности финального ответа.</w:t>
      </w:r>
    </w:p>
    <w:p/>
    <w:p>
      <w:pPr>
        <w:spacing w:after="80"/>
      </w:pPr>
      <w:r>
        <w:rPr>
          <w:sz w:val="24"/>
        </w:rPr>
        <w:t>Покрытие данных — доля кандидатов, сохраненных методом отбора в набор следующего поколения.</w:t>
      </w:r>
    </w:p>
    <w:p/>
    <w:p>
      <w:pPr>
        <w:spacing w:after="80"/>
      </w:pPr>
      <w:r>
        <w:rPr>
          <w:sz w:val="24"/>
        </w:rPr>
        <w:t>Дефектный бюджет — верхняя граница допустимой доли конкретного дефекта в отобранном наборе.</w:t>
      </w:r>
    </w:p>
    <w:p/>
    <w:p>
      <w:pPr>
        <w:spacing w:before="180" w:after="100"/>
      </w:pPr>
      <w:r>
        <w:rPr>
          <w:b/>
          <w:sz w:val="27"/>
        </w:rPr>
        <w:t>2.2. Рабочее определение дидактического коллапса</w:t>
      </w:r>
    </w:p>
    <w:p>
      <w:pPr>
        <w:spacing w:after="80"/>
      </w:pPr>
      <w:r>
        <w:rPr>
          <w:sz w:val="24"/>
        </w:rPr>
        <w:t>В данной работе дидактический коллапс не определяется как обязательное монотонное ухудшение всех метрик. Он определяется как риск распространения и закрепления педагогических дефектов при повторном использовании синтетических объяснений.</w:t>
      </w:r>
    </w:p>
    <w:p/>
    <w:p>
      <w:pPr>
        <w:spacing w:before="180" w:after="100"/>
      </w:pPr>
      <w:r>
        <w:rPr>
          <w:b/>
          <w:sz w:val="27"/>
        </w:rPr>
        <w:t>2.3. Исследовательские вопросы</w:t>
      </w:r>
    </w:p>
    <w:p>
      <w:pPr>
        <w:spacing w:after="80"/>
      </w:pPr>
      <w:r>
        <w:rPr>
          <w:sz w:val="24"/>
        </w:rPr>
        <w:t>1. Можно ли измерять динамику дидактического качества отдельно от точности финального ответа?</w:t>
      </w:r>
    </w:p>
    <w:p>
      <w:pPr>
        <w:spacing w:after="80"/>
      </w:pPr>
      <w:r>
        <w:rPr>
          <w:sz w:val="24"/>
        </w:rPr>
        <w:t>2. Позволяет ли DBR ограничивать распространение дефектов при высоком покрытии данных?</w:t>
      </w:r>
    </w:p>
    <w:p>
      <w:pPr>
        <w:spacing w:after="80"/>
      </w:pPr>
      <w:r>
        <w:rPr>
          <w:sz w:val="24"/>
        </w:rPr>
        <w:t>3. Поддерживает ли CSR гипотезу о сильном контрасте качества внутри ответов одной модели на одну и ту же задачу?</w:t>
      </w:r>
    </w:p>
    <w:p/>
    <w:p>
      <w:pPr>
        <w:spacing w:before="220" w:after="120"/>
      </w:pPr>
      <w:r>
        <w:rPr>
          <w:b/>
          <w:sz w:val="30"/>
        </w:rPr>
        <w:t>3. Связанные работы</w:t>
      </w:r>
    </w:p>
    <w:p>
      <w:pPr>
        <w:spacing w:after="80"/>
      </w:pPr>
      <w:r>
        <w:rPr>
          <w:sz w:val="24"/>
        </w:rPr>
        <w:t>Связанные исследования можно условно разделить на пять направлений: (1) деградация при рекурсивном использовании синтетических данных, (2) курирование и отбор данных в циклах самообучения, (3) использование языковых моделей как судей, (4) педагогическая оценка объяснений, (5) инструкции и самоинструкции как механизм формирования обучающих корпусов.</w:t>
      </w:r>
    </w:p>
    <w:p/>
    <w:p>
      <w:pPr>
        <w:spacing w:before="180" w:after="100"/>
      </w:pPr>
      <w:r>
        <w:rPr>
          <w:b/>
          <w:sz w:val="27"/>
        </w:rPr>
        <w:t>3.1. Деградация при рекурсивной синтетике</w:t>
      </w:r>
    </w:p>
    <w:p>
      <w:pPr>
        <w:spacing w:after="80"/>
      </w:pPr>
      <w:r>
        <w:rPr>
          <w:sz w:val="24"/>
        </w:rPr>
        <w:t>Проблема рекурсивного переиспользования синтетических данных стала центральной после работ о model collapse [1]–[3]. В этих работах показано, что при повторном обучении на данных, сгенерированных предыдущими поколениями моделей, возможно обеднение распределения, потеря редких паттернов и сдвиг в сторону «усредненных» ответов. Важно, что деградация в этих исследованиях обычно фиксируется на уровне глобальных статистик качества генерации, разнообразия или устойчивости.</w:t>
      </w:r>
    </w:p>
    <w:p/>
    <w:p>
      <w:pPr>
        <w:spacing w:after="80"/>
      </w:pPr>
      <w:r>
        <w:rPr>
          <w:sz w:val="24"/>
        </w:rPr>
        <w:t>Для образовательного контекста этого недостаточно по двум причинам. Во-первых, учебная ценность объяснения связана не только с тем, «правильный» ли итог, но и с формой рассуждения. Во-вторых, в реальном цикле рециклирования деградация может проявляться не как линейный спад среднего балла, а как накопление отдельных дефектов: например, рост доли слабо структурированных объяснений при формально стабильной точности.</w:t>
      </w:r>
    </w:p>
    <w:p/>
    <w:p>
      <w:pPr>
        <w:spacing w:after="80"/>
      </w:pPr>
      <w:r>
        <w:rPr>
          <w:sz w:val="24"/>
        </w:rPr>
        <w:t>Поэтому настоящая работа использует идею model collapse как теоретический фон, но переносит измерение на более прикладной уровень: дефектный профиль объяснений в межпоколенческой динамике. Такая рамка позволяет отделить два разных явления: (а) классический коллапс распределения и (б) педагогически значимое распространение объяснений низкого качества.</w:t>
      </w:r>
    </w:p>
    <w:p/>
    <w:p>
      <w:pPr>
        <w:spacing w:before="180" w:after="100"/>
      </w:pPr>
      <w:r>
        <w:rPr>
          <w:b/>
          <w:sz w:val="27"/>
        </w:rPr>
        <w:t>3.2. Отбор и курирование синтетических данных</w:t>
      </w:r>
    </w:p>
    <w:p>
      <w:pPr>
        <w:spacing w:after="80"/>
      </w:pPr>
      <w:r>
        <w:rPr>
          <w:sz w:val="24"/>
        </w:rPr>
        <w:t>Литература по самообучению и синтетической разметке давно показывает, что качество процедуры отбора критично для конечного результата [4], [12], [13], [16], [17]. Подходы варьируются от простого порогового отбора до многошаговой верификации и взвешивания примеров. Общая закономерность состоит в том, что агрессивная очистка может улучшать «чистоту» набора, но одновременно снижать его покрытие и разнообразие; напротив, слишком мягкий отбор сохраняет объем, но пропускает шум.</w:t>
      </w:r>
    </w:p>
    <w:p/>
    <w:p>
      <w:pPr>
        <w:spacing w:after="80"/>
      </w:pPr>
      <w:r>
        <w:rPr>
          <w:sz w:val="24"/>
        </w:rPr>
        <w:t>Эта дилемма непосредственно связана с задачей дидактического коллапса. Если в синтетическом цикле оставлять только «идеальные» объяснения, возникает риск истощения данных и потери вариативности формулировок. Если же оставлять почти все, то дефекты закрепляются и переносятся в следующее поколение. По сути, это задача многокритериального баланса между размером, разнообразием и дефектной нагрузкой.</w:t>
      </w:r>
    </w:p>
    <w:p/>
    <w:p>
      <w:pPr>
        <w:spacing w:after="80"/>
      </w:pPr>
      <w:r>
        <w:rPr>
          <w:sz w:val="24"/>
        </w:rPr>
        <w:t>DBR занимает в этой логике промежуточную позицию: метод не пытается полностью удалить все дефекты, а вводит явные бюджеты по отдельным дефектным типам. Тем самым процедура отбора становится не бинарной («прошел/не прошел»), а управляемой: ограничения можно ужесточать или ослаблять по заранее заданным правилам, сохраняя интерпретируемость результата. С точки зрения методологии данных это близко к практикам quality-aware curation, где важна не только средняя оценка, но и состав ошибок.</w:t>
      </w:r>
    </w:p>
    <w:p/>
    <w:p>
      <w:pPr>
        <w:spacing w:before="180" w:after="100"/>
      </w:pPr>
      <w:r>
        <w:rPr>
          <w:b/>
          <w:sz w:val="27"/>
        </w:rPr>
        <w:t>3.3. Языковые модели как судьи и ограничения автоматической оценки</w:t>
      </w:r>
    </w:p>
    <w:p>
      <w:pPr>
        <w:spacing w:after="80"/>
      </w:pPr>
      <w:r>
        <w:rPr>
          <w:sz w:val="24"/>
        </w:rPr>
        <w:t>Отдельный пласт литературы посвящен оцениванию открытых ответов с помощью LLM-as-a-judge [5], [6]. Эти работы демонстрируют масштабируемость и приемлемую корреляцию с человеческими предпочтениями в ряде задач, что делает автоматический судейский контур практически полезным для больших экспериментов. Однако одновременно подчеркиваются риски: чувствительность к формулировке запроса, позиционные и стилевые смещения, а также зависимость от выбранной модели-судьи [7].</w:t>
      </w:r>
    </w:p>
    <w:p/>
    <w:p>
      <w:pPr>
        <w:spacing w:after="80"/>
      </w:pPr>
      <w:r>
        <w:rPr>
          <w:sz w:val="24"/>
        </w:rPr>
        <w:t>Параллельно в классической литературе по метрикам генерации неоднократно обсуждалось, что поверхностные индикаторы лексического перекрытия (BLEU, ROUGE) ограничены для сложных когнитивных задач и требуют дополнения содержательными критериями [8], [9]. Более современные метрики, включая BLEURT и BERTScore [10], [11], улучшают корреляцию с человеческими оценками, но не снимают полностью вопрос о том, что именно следует считать «хорошим» объяснением в образовательной постановке.</w:t>
      </w:r>
    </w:p>
    <w:p/>
    <w:p>
      <w:pPr>
        <w:spacing w:after="80"/>
      </w:pPr>
      <w:r>
        <w:rPr>
          <w:sz w:val="24"/>
        </w:rPr>
        <w:t>В настоящей работе из этого следует практический принцип: автоматическая судейская оценка используется как основной инструмент, но обязательно сопровождается дополнительными проверками устойчивости. Именно поэтому итоговые утверждения опираются не только на один судейский проход, но и на парную проверку более сильной моделью-судьей, ручной качественный просмотр и пересчет итоговых таблиц из построчных данных.</w:t>
      </w:r>
    </w:p>
    <w:p/>
    <w:p>
      <w:pPr>
        <w:spacing w:before="180" w:after="100"/>
      </w:pPr>
      <w:r>
        <w:rPr>
          <w:b/>
          <w:sz w:val="27"/>
        </w:rPr>
        <w:t>3.4. Оценка образовательных объяснений и педагогические дефекты</w:t>
      </w:r>
    </w:p>
    <w:p>
      <w:pPr>
        <w:spacing w:after="80"/>
      </w:pPr>
      <w:r>
        <w:rPr>
          <w:sz w:val="24"/>
        </w:rPr>
        <w:t>Педагогическая литература последовательно показывает, что эффективность объяснения определяется не одной переменной [18]–[22]. Важны ясность, структура, уместность шага, корректность терминологии и направленность обратной связи на понимание. Классические работы о формирующей обратной связи подчеркивают, что неудачно организованное объяснение может ухудшать обучение даже при внешне «правильном» содержании [18], [19].</w:t>
      </w:r>
    </w:p>
    <w:p/>
    <w:p>
      <w:pPr>
        <w:spacing w:after="80"/>
      </w:pPr>
      <w:r>
        <w:rPr>
          <w:sz w:val="24"/>
        </w:rPr>
        <w:t>Для интеллектуальных обучающих систем это хорошо известная проблема: формально корректный ответ учащегося не гарантирует корректности стратегии, а значит, оценка должна учитывать ход рассуждения [20], [21]. В исследованиях self-explanation также показано, что глубина понимания зависит от того, как именно развернуты промежуточные шаги [22]. Это напрямую соотносится с нашим понятием скрытой педагогической ошибки: объяснение может выглядеть убедительным, но формировать неправильную когнитивную схему.</w:t>
      </w:r>
    </w:p>
    <w:p/>
    <w:p>
      <w:pPr>
        <w:spacing w:after="80"/>
      </w:pPr>
      <w:r>
        <w:rPr>
          <w:sz w:val="24"/>
        </w:rPr>
        <w:t>Отсюда возникает методологическое требование к синтетическим образовательным данным: раздельный учет по меньшей мере трех групп индикаторов — корректность ответа, педагогическое качество и дефектные признаки рассуждения. В данной статье это требование реализовано через отдельные метрики точности, интегральной педагогической оценки, скрытых ошибок, ошибок разбора и структурно-логических дефектов.</w:t>
      </w:r>
    </w:p>
    <w:p/>
    <w:p>
      <w:pPr>
        <w:spacing w:before="180" w:after="100"/>
      </w:pPr>
      <w:r>
        <w:rPr>
          <w:b/>
          <w:sz w:val="27"/>
        </w:rPr>
        <w:t>3.5. Инструкции, самоинструкции и межпоколенческие циклы</w:t>
      </w:r>
    </w:p>
    <w:p>
      <w:pPr>
        <w:spacing w:after="80"/>
      </w:pPr>
      <w:r>
        <w:rPr>
          <w:sz w:val="24"/>
        </w:rPr>
        <w:t>Работы по instruction-tuning и self-instruct показывают, что даже ограниченные, но качественно отобранные наборы могут существенно влиять на поведение модели [14]–[17], [23], [24]. С одной стороны, это расширяет возможности недорогого масштабирования. С другой — повышает требования к контролю состава синтетических примеров: если набор содержит систематический педагогический шум, этот шум может воспроизводиться в следующих итерациях.</w:t>
      </w:r>
    </w:p>
    <w:p/>
    <w:p>
      <w:pPr>
        <w:spacing w:after="80"/>
      </w:pPr>
      <w:r>
        <w:rPr>
          <w:sz w:val="24"/>
        </w:rPr>
        <w:t>В контексте текущего исследования важны два вывода. Первый: само наличие синтетического цикла не является проблемой само по себе; проблема возникает при неуправляемом переносе дефектов из поколения в поколение. Второй: «хорошесть» данных должна задаваться операционально, через проверяемые критерии допуска и отчетность по нарушениям.</w:t>
      </w:r>
    </w:p>
    <w:p/>
    <w:p>
      <w:pPr>
        <w:spacing w:after="80"/>
      </w:pPr>
      <w:r>
        <w:rPr>
          <w:sz w:val="24"/>
        </w:rPr>
        <w:t>Именно здесь расположен наш вклад относительно близких работ. Мы не вводим сложную внешнюю «учительскую» перезапись данных и не заявляем универсальную схему улучшения любой метрики. Вместо этого предлагается простая и проверяемая политика дефектного бюджетирования, а также дополнительный контрастивный анализ CSR для демонстрации того, что одна и та же модель на одной и той же задаче способна производить как педагогически сильные, так и педагогически слабые объяснения.</w:t>
      </w:r>
    </w:p>
    <w:p/>
    <w:p>
      <w:pPr>
        <w:spacing w:after="80"/>
      </w:pPr>
      <w:r>
        <w:rPr>
          <w:sz w:val="24"/>
        </w:rPr>
        <w:t>В совокупности литературный контур поддерживает центральную гипотезу статьи: для образовательных объяснений риск деградации следует анализировать на уровне дефектного состава, а не только на уровне средней точности. Соответственно, основной результат нужно формулировать как контроль риска, а не как «универсальное улучшение» всех итоговых показателей.</w:t>
      </w:r>
    </w:p>
    <w:p/>
    <w:p>
      <w:pPr>
        <w:spacing w:before="220" w:after="120"/>
      </w:pPr>
      <w:r>
        <w:rPr>
          <w:b/>
          <w:sz w:val="30"/>
        </w:rPr>
        <w:t>4. Материалы и методы</w:t>
      </w:r>
    </w:p>
    <w:p>
      <w:pPr>
        <w:spacing w:before="180" w:after="100"/>
      </w:pPr>
      <w:r>
        <w:rPr>
          <w:b/>
          <w:sz w:val="27"/>
        </w:rPr>
        <w:t>4.1. Экспериментальная постановка</w:t>
      </w:r>
    </w:p>
    <w:p>
      <w:pPr>
        <w:ind w:left="720" w:hanging="360"/>
        <w:spacing w:after="70"/>
      </w:pPr>
      <w:r>
        <w:rPr>
          <w:sz w:val="24"/>
        </w:rPr>
        <w:t>• Испытуемая модель: qwen2.5:0.5b.</w:t>
      </w:r>
    </w:p>
    <w:p>
      <w:pPr>
        <w:ind w:left="720" w:hanging="360"/>
        <w:spacing w:after="70"/>
      </w:pPr>
      <w:r>
        <w:rPr>
          <w:sz w:val="24"/>
        </w:rPr>
        <w:t>• Режим: рециклирование без дообучения (inference_recycling_only).</w:t>
      </w:r>
    </w:p>
    <w:p>
      <w:pPr>
        <w:ind w:left="720" w:hanging="360"/>
        <w:spacing w:after="70"/>
      </w:pPr>
      <w:r>
        <w:rPr>
          <w:sz w:val="24"/>
        </w:rPr>
        <w:t>• Поколения: Gen0, Gen1, Gen2.</w:t>
      </w:r>
    </w:p>
    <w:p>
      <w:pPr>
        <w:ind w:left="720" w:hanging="360"/>
        <w:spacing w:after="70"/>
      </w:pPr>
      <w:r>
        <w:rPr>
          <w:sz w:val="24"/>
        </w:rPr>
        <w:t>• Основные сравниваемые ветви: обычное рециклирование, DBR и CSR (в отдельных сериях).</w:t>
      </w:r>
    </w:p>
    <w:p>
      <w:pPr>
        <w:ind w:left="720" w:hanging="360"/>
        <w:spacing w:after="70"/>
      </w:pPr>
      <w:r>
        <w:rPr>
          <w:sz w:val="24"/>
        </w:rPr>
        <w:t>• Случайные запуски (seed): серии по трем независимым запускам для подтверждающих сравнений DBR.</w:t>
      </w:r>
    </w:p>
    <w:p/>
    <w:p>
      <w:pPr>
        <w:spacing w:before="180" w:after="100"/>
      </w:pPr>
      <w:r>
        <w:rPr>
          <w:b/>
          <w:sz w:val="27"/>
        </w:rPr>
        <w:t>4.2. Оценка качества</w:t>
      </w:r>
    </w:p>
    <w:p>
      <w:pPr>
        <w:spacing w:after="80"/>
      </w:pPr>
      <w:r>
        <w:rPr>
          <w:sz w:val="24"/>
        </w:rPr>
        <w:t>Основная автоматическая оценка выполнялась рубричной моделью-судьей Llama 3.1 8B по шкалам ясности, структуры, терминологии, состоятельности рассуждения, интегрального педагогического балла и флага скрытой педагогической ошибки. Для проверки устойчивости использовалась дополнительная парная проверка Qwen3-235B на matched-подвыборке Gen2. Дополнительно выполнен ручной качественный просмотр 35 пар для sanity-check содержательной приемлемости автоматических предпочтений.</w:t>
      </w:r>
    </w:p>
    <w:p/>
    <w:p>
      <w:pPr>
        <w:spacing w:before="180" w:after="100"/>
      </w:pPr>
      <w:r>
        <w:rPr>
          <w:b/>
          <w:sz w:val="27"/>
        </w:rPr>
        <w:t>4.3. Контроль корректности</w:t>
      </w:r>
    </w:p>
    <w:p>
      <w:pPr>
        <w:spacing w:after="80"/>
      </w:pPr>
      <w:r>
        <w:rPr>
          <w:sz w:val="24"/>
        </w:rPr>
        <w:t>Ключевые таблицы пересчитывались из построчных данных; использовались проверки согласованности строковых счетчиков, matched-сравнение по общим задачам и аудит целостности артефактов. Численные утверждения в рукописи основаны на пересчитанных таблицах.</w:t>
      </w:r>
    </w:p>
    <w:p/>
    <w:p>
      <w:pPr>
        <w:spacing w:before="180" w:after="100"/>
      </w:pPr>
      <w:r>
        <w:rPr>
          <w:b/>
          <w:sz w:val="27"/>
        </w:rPr>
        <w:t>4.4. Ограничения постановки</w:t>
      </w:r>
    </w:p>
    <w:p>
      <w:pPr>
        <w:spacing w:after="80"/>
      </w:pPr>
      <w:r>
        <w:rPr>
          <w:sz w:val="24"/>
        </w:rPr>
        <w:t>Результаты относятся к режиму рециклирования без дообучения и не интерпретируются как эффект полноценного градиентного дообучения модели.</w:t>
      </w:r>
    </w:p>
    <w:p/>
    <w:p>
      <w:pPr>
        <w:spacing w:before="220" w:after="120"/>
      </w:pPr>
      <w:r>
        <w:rPr>
          <w:b/>
          <w:sz w:val="30"/>
        </w:rPr>
        <w:t>5. Метод дефектно-бюджетного рециклирования</w:t>
      </w:r>
    </w:p>
    <w:p>
      <w:pPr>
        <w:spacing w:before="180" w:after="100"/>
      </w:pPr>
      <w:r>
        <w:rPr>
          <w:b/>
          <w:sz w:val="27"/>
        </w:rPr>
        <w:t>5.1. Идея метода</w:t>
      </w:r>
    </w:p>
    <w:p>
      <w:pPr>
        <w:spacing w:after="80"/>
      </w:pPr>
      <w:r>
        <w:rPr>
          <w:sz w:val="24"/>
        </w:rPr>
        <w:t>Дефектно-бюджетное рециклирование (DBR) — это метод отбора примеров в следующее поколение, который одновременно:</w:t>
      </w:r>
    </w:p>
    <w:p>
      <w:pPr>
        <w:spacing w:after="80"/>
      </w:pPr>
      <w:r>
        <w:rPr>
          <w:sz w:val="24"/>
        </w:rPr>
        <w:t>1. сохраняет высокий охват (покрытие) данных;</w:t>
      </w:r>
    </w:p>
    <w:p>
      <w:pPr>
        <w:spacing w:after="80"/>
      </w:pPr>
      <w:r>
        <w:rPr>
          <w:sz w:val="24"/>
        </w:rPr>
        <w:t>2. ограничивает доли заранее заданных дефектов;</w:t>
      </w:r>
    </w:p>
    <w:p>
      <w:pPr>
        <w:spacing w:after="80"/>
      </w:pPr>
      <w:r>
        <w:rPr>
          <w:sz w:val="24"/>
        </w:rPr>
        <w:t>3. явно фиксирует нарушения бюджетов, если без их ослабления невозможно заполнить целевой размер.</w:t>
      </w:r>
    </w:p>
    <w:p/>
    <w:p>
      <w:pPr>
        <w:spacing w:after="80"/>
      </w:pPr>
      <w:r>
        <w:rPr>
          <w:sz w:val="24"/>
        </w:rPr>
        <w:t>Метод не генерирует новые ответы и не выполняет внешнее исправление объяснений. DBR работает только с уже полученным пулом кандидатов текущего поколения.</w:t>
      </w:r>
    </w:p>
    <w:p/>
    <w:p>
      <w:pPr>
        <w:spacing w:before="180" w:after="100"/>
      </w:pPr>
      <w:r>
        <w:rPr>
          <w:b/>
          <w:sz w:val="27"/>
        </w:rPr>
        <w:t>5.2. Дефектные признаки и их вес</w:t>
      </w:r>
    </w:p>
    <w:p>
      <w:pPr>
        <w:spacing w:after="80"/>
      </w:pPr>
      <w:r>
        <w:rPr>
          <w:sz w:val="24"/>
        </w:rPr>
        <w:t>В экспериментальной реализации использовались следующие бинарные признаки:</w:t>
      </w:r>
    </w:p>
    <w:p>
      <w:pPr>
        <w:ind w:left="720" w:hanging="360"/>
        <w:spacing w:after="70"/>
      </w:pPr>
      <w:r>
        <w:rPr>
          <w:sz w:val="24"/>
        </w:rPr>
        <w:t>• parse_failure — ошибка разбора финального ответа;</w:t>
      </w:r>
    </w:p>
    <w:p>
      <w:pPr>
        <w:ind w:left="720" w:hanging="360"/>
        <w:spacing w:after="70"/>
      </w:pPr>
      <w:r>
        <w:rPr>
          <w:sz w:val="24"/>
        </w:rPr>
        <w:t>• silent_error — скрытая педагогическая ошибка;</w:t>
      </w:r>
    </w:p>
    <w:p>
      <w:pPr>
        <w:ind w:left="720" w:hanging="360"/>
        <w:spacing w:after="70"/>
      </w:pPr>
      <w:r>
        <w:rPr>
          <w:sz w:val="24"/>
        </w:rPr>
        <w:t>• incorrect — неправильный финальный ответ;</w:t>
      </w:r>
    </w:p>
    <w:p>
      <w:pPr>
        <w:ind w:left="720" w:hanging="360"/>
        <w:spacing w:after="70"/>
      </w:pPr>
      <w:r>
        <w:rPr>
          <w:sz w:val="24"/>
        </w:rPr>
        <w:t>• low_reasoning — слабое рассуждение;</w:t>
      </w:r>
    </w:p>
    <w:p>
      <w:pPr>
        <w:ind w:left="720" w:hanging="360"/>
        <w:spacing w:after="70"/>
      </w:pPr>
      <w:r>
        <w:rPr>
          <w:sz w:val="24"/>
        </w:rPr>
        <w:t>• low_structure — слабая структура.</w:t>
      </w:r>
    </w:p>
    <w:p/>
    <w:p>
      <w:pPr>
        <w:spacing w:after="80"/>
      </w:pPr>
      <w:r>
        <w:rPr>
          <w:sz w:val="24"/>
        </w:rPr>
        <w:t>Интегральная тяжесть дефекта рассчитывалась как:</w:t>
      </w:r>
    </w:p>
    <w:p/>
    <w:p>
      <w:pPr>
        <w:spacing w:after="80"/>
      </w:pPr>
      <w:r>
        <w:rPr>
          <w:sz w:val="24"/>
        </w:rPr>
        <w:t>\[</w:t>
      </w:r>
    </w:p>
    <w:p>
      <w:pPr>
        <w:spacing w:after="80"/>
      </w:pPr>
      <w:r>
        <w:rPr>
          <w:sz w:val="24"/>
        </w:rPr>
        <w:t>\mathrm{severity}=4\cdot\mathrm{parse\_failure}+4\cdot\mathrm{silent\_error}+2\cdot\mathrm{incorrect}+2\cdot\mathrm{low\_reasoning}+1\cdot\mathrm{low\_structure}.</w:t>
      </w:r>
    </w:p>
    <w:p>
      <w:pPr>
        <w:spacing w:after="80"/>
      </w:pPr>
      <w:r>
        <w:rPr>
          <w:sz w:val="24"/>
        </w:rPr>
        <w:t>\]</w:t>
      </w:r>
    </w:p>
    <w:p/>
    <w:p>
      <w:pPr>
        <w:spacing w:before="180" w:after="100"/>
      </w:pPr>
      <w:r>
        <w:rPr>
          <w:b/>
          <w:sz w:val="27"/>
        </w:rPr>
        <w:t>5.3. Алгоритм отбора</w:t>
      </w:r>
    </w:p>
    <w:p>
      <w:pPr>
        <w:spacing w:after="80"/>
      </w:pPr>
      <w:r>
        <w:rPr>
          <w:sz w:val="24"/>
        </w:rPr>
        <w:t>Алгоритм 1. Дефектно-бюджетное рециклирование</w:t>
      </w:r>
    </w:p>
    <w:p/>
    <w:p>
      <w:pPr>
        <w:spacing w:after="80"/>
      </w:pPr>
      <w:r>
        <w:rPr>
          <w:sz w:val="24"/>
        </w:rPr>
        <w:t>Вход: множество кандидатов \(E\), бюджеты дефектов \(B\), целевой размер \(N\).</w:t>
      </w:r>
    </w:p>
    <w:p>
      <w:pPr>
        <w:spacing w:after="80"/>
      </w:pPr>
      <w:r>
        <w:rPr>
          <w:sz w:val="24"/>
        </w:rPr>
        <w:t>Выход: отобранный набор \(S\), отчет о нарушениях бюджетов.</w:t>
      </w:r>
    </w:p>
    <w:p/>
    <w:p>
      <w:pPr>
        <w:spacing w:after="80"/>
      </w:pPr>
      <w:r>
        <w:rPr>
          <w:sz w:val="24"/>
        </w:rPr>
        <w:t>1. Для каждого \(e\in E\) вычислить дефектные признаки и значение \(severity(e)\).</w:t>
      </w:r>
    </w:p>
    <w:p>
      <w:pPr>
        <w:spacing w:after="80"/>
      </w:pPr>
      <w:r>
        <w:rPr>
          <w:sz w:val="24"/>
        </w:rPr>
        <w:t>2. Отсортировать кандидатов по возрастанию \(severity\) и дополнительным качественным признакам.</w:t>
      </w:r>
    </w:p>
    <w:p>
      <w:pPr>
        <w:spacing w:after="80"/>
      </w:pPr>
      <w:r>
        <w:rPr>
          <w:sz w:val="24"/>
        </w:rPr>
        <w:t>3. Добавлять элементы в \(S\), пока соблюдаются бюджеты \(B\) и \(|S|&lt;N\).</w:t>
      </w:r>
    </w:p>
    <w:p>
      <w:pPr>
        <w:spacing w:after="80"/>
      </w:pPr>
      <w:r>
        <w:rPr>
          <w:sz w:val="24"/>
        </w:rPr>
        <w:t>4. Если \(|S|&lt;N\), ослаблять бюджеты в фиксированном порядке и продолжать отбор.</w:t>
      </w:r>
    </w:p>
    <w:p>
      <w:pPr>
        <w:spacing w:after="80"/>
      </w:pPr>
      <w:r>
        <w:rPr>
          <w:sz w:val="24"/>
        </w:rPr>
        <w:t>5. Зафиксировать все нарушения бюджетов и шаги ослабления в отчете.</w:t>
      </w:r>
    </w:p>
    <w:p>
      <w:pPr>
        <w:spacing w:after="80"/>
      </w:pPr>
      <w:r>
        <w:rPr>
          <w:sz w:val="24"/>
        </w:rPr>
        <w:t>6. Вернуть \(S\) и отчет.</w:t>
      </w:r>
    </w:p>
    <w:p/>
    <w:p>
      <w:pPr>
        <w:spacing w:before="180" w:after="100"/>
      </w:pPr>
      <w:r>
        <w:rPr>
          <w:b/>
          <w:sz w:val="27"/>
        </w:rPr>
        <w:t>5.4. Отличие DBR от простой фильтрации</w:t>
      </w:r>
    </w:p>
    <w:p>
      <w:pPr>
        <w:spacing w:after="80"/>
      </w:pPr>
      <w:r>
        <w:rPr>
          <w:sz w:val="24"/>
        </w:rPr>
        <w:t>В отличие от бинарной фильтрации, DBR не максимизирует «чистоту» любой ценой. Метод ориентирован на баланс: высокое покрытие при контролируемом дефектном профиле. Если строгие лимиты мешают набрать целевой объем, DBR допускает управляемые послабления и явно документирует их, что делает процесс проверяемым.</w:t>
      </w:r>
    </w:p>
    <w:p/>
    <w:p>
      <w:pPr>
        <w:spacing w:before="220" w:after="120"/>
      </w:pPr>
      <w:r>
        <w:rPr>
          <w:b/>
          <w:sz w:val="30"/>
        </w:rPr>
        <w:t>6. Экспериментальный дизайн</w:t>
      </w:r>
    </w:p>
    <w:p>
      <w:pPr>
        <w:spacing w:before="180" w:after="100"/>
      </w:pPr>
      <w:r>
        <w:rPr>
          <w:b/>
          <w:sz w:val="27"/>
        </w:rPr>
        <w:t>Таблица 1. Основные метрики и их интерпретация</w:t>
      </w:r>
    </w:p>
    <w:tbl>
      <w:tblPr>
        <w:tblStyle w:val="TableGrid"/>
        <w:tblW w:w="9026" w:type="dxa"/>
        <w:tblBorders>
          <w:top w:val="single" w:sz="8" w:space="0" w:color="808080"/>
          <w:left w:val="single" w:sz="8" w:space="0" w:color="808080"/>
          <w:bottom w:val="single" w:sz="8" w:space="0" w:color="808080"/>
          <w:right w:val="single" w:sz="8" w:space="0" w:color="808080"/>
          <w:insideH w:val="single" w:sz="6" w:space="0" w:color="B0B0B0"/>
          <w:insideV w:val="single" w:sz="6" w:space="0" w:color="B0B0B0"/>
        </w:tblBorders>
        <w:tblCellMar>
          <w:top w:w="80" w:type="dxa"/>
          <w:left w:w="120" w:type="dxa"/>
          <w:bottom w:w="80" w:type="dxa"/>
          <w:right w:w="120" w:type="dxa"/>
        </w:tblCellMar>
      </w:tblPr>
      <w:tblGrid>
        <w:gridCol w:w="3008"/>
        <w:gridCol w:w="3008"/>
        <w:gridCol w:w="3008"/>
      </w:tblGrid>
      <w:tr>
        <w:tc>
          <w:tcPr>
            <w:tcW w:w="3008" w:type="dxa"/>
            <w:vAlign w:val="center"/>
            <w:shd w:val="clear" w:color="auto" w:fill="F2F2F2"/>
          </w:tcPr>
          <w:p>
            <w:pPr>
              <w:spacing w:before="40" w:after="40"/>
            </w:pPr>
            <w:r>
              <w:rPr>
                <w:b/>
                <w:sz w:val="24"/>
              </w:rPr>
              <w:t>Метрика</w:t>
            </w:r>
          </w:p>
        </w:tc>
        <w:tc>
          <w:tcPr>
            <w:tcW w:w="3008" w:type="dxa"/>
            <w:vAlign w:val="center"/>
            <w:shd w:val="clear" w:color="auto" w:fill="F2F2F2"/>
          </w:tcPr>
          <w:p>
            <w:pPr>
              <w:spacing w:before="40" w:after="40"/>
            </w:pPr>
            <w:r>
              <w:rPr>
                <w:b/>
                <w:sz w:val="24"/>
              </w:rPr>
              <w:t>Смысл</w:t>
            </w:r>
          </w:p>
        </w:tc>
        <w:tc>
          <w:tcPr>
            <w:tcW w:w="3008" w:type="dxa"/>
            <w:vAlign w:val="center"/>
            <w:shd w:val="clear" w:color="auto" w:fill="F2F2F2"/>
          </w:tcPr>
          <w:p>
            <w:pPr>
              <w:spacing w:before="40" w:after="40"/>
            </w:pPr>
            <w:r>
              <w:rPr>
                <w:b/>
                <w:sz w:val="24"/>
              </w:rPr>
              <w:t>Интерпретация направления</w:t>
            </w:r>
          </w:p>
        </w:tc>
      </w:tr>
      <w:tr>
        <w:tc>
          <w:tcPr>
            <w:tcW w:w="3008" w:type="dxa"/>
            <w:vAlign w:val="center"/>
          </w:tcPr>
          <w:p>
            <w:pPr>
              <w:spacing w:before="40" w:after="40"/>
            </w:pPr>
            <w:r>
              <w:rPr>
                <w:sz w:val="24"/>
              </w:rPr>
              <w:t>Точность ответа</w:t>
            </w:r>
          </w:p>
        </w:tc>
        <w:tc>
          <w:tcPr>
            <w:tcW w:w="3008" w:type="dxa"/>
            <w:vAlign w:val="center"/>
          </w:tcPr>
          <w:p>
            <w:pPr>
              <w:spacing w:before="40" w:after="40"/>
            </w:pPr>
            <w:r>
              <w:rPr>
                <w:sz w:val="24"/>
              </w:rPr>
              <w:t>Доля корректных финальных ответов</w:t>
            </w:r>
          </w:p>
        </w:tc>
        <w:tc>
          <w:tcPr>
            <w:tcW w:w="3008" w:type="dxa"/>
            <w:vAlign w:val="center"/>
          </w:tcPr>
          <w:p>
            <w:pPr>
              <w:spacing w:before="40" w:after="40"/>
            </w:pPr>
            <w:r>
              <w:rPr>
                <w:sz w:val="24"/>
              </w:rPr>
              <w:t>Больше — лучше</w:t>
            </w:r>
          </w:p>
        </w:tc>
      </w:tr>
      <w:tr>
        <w:tc>
          <w:tcPr>
            <w:tcW w:w="3008" w:type="dxa"/>
            <w:vAlign w:val="center"/>
          </w:tcPr>
          <w:p>
            <w:pPr>
              <w:spacing w:before="40" w:after="40"/>
            </w:pPr>
            <w:r>
              <w:rPr>
                <w:sz w:val="24"/>
              </w:rPr>
              <w:t>Педагогическая оценка</w:t>
            </w:r>
          </w:p>
        </w:tc>
        <w:tc>
          <w:tcPr>
            <w:tcW w:w="3008" w:type="dxa"/>
            <w:vAlign w:val="center"/>
          </w:tcPr>
          <w:p>
            <w:pPr>
              <w:spacing w:before="40" w:after="40"/>
            </w:pPr>
            <w:r>
              <w:rPr>
                <w:sz w:val="24"/>
              </w:rPr>
              <w:t>Интегральная оценка качества объяснения</w:t>
            </w:r>
          </w:p>
        </w:tc>
        <w:tc>
          <w:tcPr>
            <w:tcW w:w="3008" w:type="dxa"/>
            <w:vAlign w:val="center"/>
          </w:tcPr>
          <w:p>
            <w:pPr>
              <w:spacing w:before="40" w:after="40"/>
            </w:pPr>
            <w:r>
              <w:rPr>
                <w:sz w:val="24"/>
              </w:rPr>
              <w:t>Больше — лучше</w:t>
            </w:r>
          </w:p>
        </w:tc>
      </w:tr>
      <w:tr>
        <w:tc>
          <w:tcPr>
            <w:tcW w:w="3008" w:type="dxa"/>
            <w:vAlign w:val="center"/>
          </w:tcPr>
          <w:p>
            <w:pPr>
              <w:spacing w:before="40" w:after="40"/>
            </w:pPr>
            <w:r>
              <w:rPr>
                <w:sz w:val="24"/>
              </w:rPr>
              <w:t>Доля скрытых педагогических ошибок</w:t>
            </w:r>
          </w:p>
        </w:tc>
        <w:tc>
          <w:tcPr>
            <w:tcW w:w="3008" w:type="dxa"/>
            <w:vAlign w:val="center"/>
          </w:tcPr>
          <w:p>
            <w:pPr>
              <w:spacing w:before="40" w:after="40"/>
            </w:pPr>
            <w:r>
              <w:rPr>
                <w:sz w:val="24"/>
              </w:rPr>
              <w:t>Доля потенциально вводящих в заблуждение объяснений</w:t>
            </w:r>
          </w:p>
        </w:tc>
        <w:tc>
          <w:tcPr>
            <w:tcW w:w="3008" w:type="dxa"/>
            <w:vAlign w:val="center"/>
          </w:tcPr>
          <w:p>
            <w:pPr>
              <w:spacing w:before="40" w:after="40"/>
            </w:pPr>
            <w:r>
              <w:rPr>
                <w:sz w:val="24"/>
              </w:rPr>
              <w:t>Меньше — лучше</w:t>
            </w:r>
          </w:p>
        </w:tc>
      </w:tr>
      <w:tr>
        <w:tc>
          <w:tcPr>
            <w:tcW w:w="3008" w:type="dxa"/>
            <w:vAlign w:val="center"/>
          </w:tcPr>
          <w:p>
            <w:pPr>
              <w:spacing w:before="40" w:after="40"/>
            </w:pPr>
            <w:r>
              <w:rPr>
                <w:sz w:val="24"/>
              </w:rPr>
              <w:t>Доля ошибок разбора</w:t>
            </w:r>
          </w:p>
        </w:tc>
        <w:tc>
          <w:tcPr>
            <w:tcW w:w="3008" w:type="dxa"/>
            <w:vAlign w:val="center"/>
          </w:tcPr>
          <w:p>
            <w:pPr>
              <w:spacing w:before="40" w:after="40"/>
            </w:pPr>
            <w:r>
              <w:rPr>
                <w:sz w:val="24"/>
              </w:rPr>
              <w:t>Доля случаев неуспешного извлечения финального ответа</w:t>
            </w:r>
          </w:p>
        </w:tc>
        <w:tc>
          <w:tcPr>
            <w:tcW w:w="3008" w:type="dxa"/>
            <w:vAlign w:val="center"/>
          </w:tcPr>
          <w:p>
            <w:pPr>
              <w:spacing w:before="40" w:after="40"/>
            </w:pPr>
            <w:r>
              <w:rPr>
                <w:sz w:val="24"/>
              </w:rPr>
              <w:t>Меньше — лучше</w:t>
            </w:r>
          </w:p>
        </w:tc>
      </w:tr>
      <w:tr>
        <w:tc>
          <w:tcPr>
            <w:tcW w:w="3008" w:type="dxa"/>
            <w:vAlign w:val="center"/>
          </w:tcPr>
          <w:p>
            <w:pPr>
              <w:spacing w:before="40" w:after="40"/>
            </w:pPr>
            <w:r>
              <w:rPr>
                <w:sz w:val="24"/>
              </w:rPr>
              <w:t>Дефект слабого рассуждения</w:t>
            </w:r>
          </w:p>
        </w:tc>
        <w:tc>
          <w:tcPr>
            <w:tcW w:w="3008" w:type="dxa"/>
            <w:vAlign w:val="center"/>
          </w:tcPr>
          <w:p>
            <w:pPr>
              <w:spacing w:before="40" w:after="40"/>
            </w:pPr>
            <w:r>
              <w:rPr>
                <w:sz w:val="24"/>
              </w:rPr>
              <w:t>Доля объяснений с несостоятельным рассуждением</w:t>
            </w:r>
          </w:p>
        </w:tc>
        <w:tc>
          <w:tcPr>
            <w:tcW w:w="3008" w:type="dxa"/>
            <w:vAlign w:val="center"/>
          </w:tcPr>
          <w:p>
            <w:pPr>
              <w:spacing w:before="40" w:after="40"/>
            </w:pPr>
            <w:r>
              <w:rPr>
                <w:sz w:val="24"/>
              </w:rPr>
              <w:t>Меньше — лучше</w:t>
            </w:r>
          </w:p>
        </w:tc>
      </w:tr>
      <w:tr>
        <w:tc>
          <w:tcPr>
            <w:tcW w:w="3008" w:type="dxa"/>
            <w:vAlign w:val="center"/>
          </w:tcPr>
          <w:p>
            <w:pPr>
              <w:spacing w:before="40" w:after="40"/>
            </w:pPr>
            <w:r>
              <w:rPr>
                <w:sz w:val="24"/>
              </w:rPr>
              <w:t>Дефект слабой структуры</w:t>
            </w:r>
          </w:p>
        </w:tc>
        <w:tc>
          <w:tcPr>
            <w:tcW w:w="3008" w:type="dxa"/>
            <w:vAlign w:val="center"/>
          </w:tcPr>
          <w:p>
            <w:pPr>
              <w:spacing w:before="40" w:after="40"/>
            </w:pPr>
            <w:r>
              <w:rPr>
                <w:sz w:val="24"/>
              </w:rPr>
              <w:t>Доля объяснений с плохой организацией шагов</w:t>
            </w:r>
          </w:p>
        </w:tc>
        <w:tc>
          <w:tcPr>
            <w:tcW w:w="3008" w:type="dxa"/>
            <w:vAlign w:val="center"/>
          </w:tcPr>
          <w:p>
            <w:pPr>
              <w:spacing w:before="40" w:after="40"/>
            </w:pPr>
            <w:r>
              <w:rPr>
                <w:sz w:val="24"/>
              </w:rPr>
              <w:t>Меньше — лучше</w:t>
            </w:r>
          </w:p>
        </w:tc>
      </w:tr>
      <w:tr>
        <w:tc>
          <w:tcPr>
            <w:tcW w:w="3008" w:type="dxa"/>
            <w:vAlign w:val="center"/>
          </w:tcPr>
          <w:p>
            <w:pPr>
              <w:spacing w:before="40" w:after="40"/>
            </w:pPr>
            <w:r>
              <w:rPr>
                <w:sz w:val="24"/>
              </w:rPr>
              <w:t>Покрытие данных</w:t>
            </w:r>
          </w:p>
        </w:tc>
        <w:tc>
          <w:tcPr>
            <w:tcW w:w="3008" w:type="dxa"/>
            <w:vAlign w:val="center"/>
          </w:tcPr>
          <w:p>
            <w:pPr>
              <w:spacing w:before="40" w:after="40"/>
            </w:pPr>
            <w:r>
              <w:rPr>
                <w:sz w:val="24"/>
              </w:rPr>
              <w:t>Доля сохраненных примеров для следующего поколения</w:t>
            </w:r>
          </w:p>
        </w:tc>
        <w:tc>
          <w:tcPr>
            <w:tcW w:w="3008" w:type="dxa"/>
            <w:vAlign w:val="center"/>
          </w:tcPr>
          <w:p>
            <w:pPr>
              <w:spacing w:before="40" w:after="40"/>
            </w:pPr>
            <w:r>
              <w:rPr>
                <w:sz w:val="24"/>
              </w:rPr>
              <w:t>Больше — лучше</w:t>
            </w:r>
          </w:p>
        </w:tc>
      </w:tr>
    </w:tbl>
    <w:p/>
    <w:p/>
    <w:p>
      <w:pPr>
        <w:spacing w:after="80"/>
      </w:pPr>
      <w:r>
        <w:rPr>
          <w:sz w:val="24"/>
        </w:rPr>
        <w:t>Пояснение. Доля скрытых ошибок является «обратной» метрикой: положительная дельта означает ухудшение, отрицательная — улучшение.</w:t>
      </w:r>
    </w:p>
    <w:p/>
    <w:p>
      <w:pPr>
        <w:spacing w:after="80"/>
      </w:pPr>
      <w:r>
        <w:rPr>
          <w:sz w:val="24"/>
        </w:rPr>
        <w:t>Сокращения: Gen — поколение рециклирования; DBR — дефектно-бюджетное рециклирование; CSR — контрастивное саморециклирование.</w:t>
      </w:r>
    </w:p>
    <w:p/>
    <w:p>
      <w:pPr>
        <w:spacing w:before="180" w:after="100"/>
      </w:pPr>
      <w:r>
        <w:rPr>
          <w:b/>
          <w:sz w:val="27"/>
        </w:rPr>
        <w:t>Таблица 2. Сводка экспериментальных серий</w:t>
      </w:r>
    </w:p>
    <w:tbl>
      <w:tblPr>
        <w:tblStyle w:val="TableGrid"/>
        <w:tblW w:w="9026" w:type="dxa"/>
        <w:tblBorders>
          <w:top w:val="single" w:sz="8" w:space="0" w:color="808080"/>
          <w:left w:val="single" w:sz="8" w:space="0" w:color="808080"/>
          <w:bottom w:val="single" w:sz="8" w:space="0" w:color="808080"/>
          <w:right w:val="single" w:sz="8" w:space="0" w:color="808080"/>
          <w:insideH w:val="single" w:sz="6" w:space="0" w:color="B0B0B0"/>
          <w:insideV w:val="single" w:sz="6" w:space="0" w:color="B0B0B0"/>
        </w:tblBorders>
        <w:tblCellMar>
          <w:top w:w="80" w:type="dxa"/>
          <w:left w:w="120" w:type="dxa"/>
          <w:bottom w:w="80" w:type="dxa"/>
          <w:right w:w="120" w:type="dxa"/>
        </w:tblCellMar>
      </w:tblPr>
      <w:tblGrid>
        <w:gridCol w:w="2256"/>
        <w:gridCol w:w="2256"/>
        <w:gridCol w:w="2256"/>
        <w:gridCol w:w="2256"/>
      </w:tblGrid>
      <w:tr>
        <w:tc>
          <w:tcPr>
            <w:tcW w:w="2256" w:type="dxa"/>
            <w:vAlign w:val="center"/>
            <w:shd w:val="clear" w:color="auto" w:fill="F2F2F2"/>
          </w:tcPr>
          <w:p>
            <w:pPr>
              <w:spacing w:before="40" w:after="40"/>
            </w:pPr>
            <w:r>
              <w:rPr>
                <w:b/>
                <w:sz w:val="24"/>
              </w:rPr>
              <w:t>Серия</w:t>
            </w:r>
          </w:p>
        </w:tc>
        <w:tc>
          <w:tcPr>
            <w:tcW w:w="2256" w:type="dxa"/>
            <w:vAlign w:val="center"/>
            <w:shd w:val="clear" w:color="auto" w:fill="F2F2F2"/>
          </w:tcPr>
          <w:p>
            <w:pPr>
              <w:spacing w:before="40" w:after="40"/>
            </w:pPr>
            <w:r>
              <w:rPr>
                <w:b/>
                <w:sz w:val="24"/>
              </w:rPr>
              <w:t>Цель</w:t>
            </w:r>
          </w:p>
        </w:tc>
        <w:tc>
          <w:tcPr>
            <w:tcW w:w="2256" w:type="dxa"/>
            <w:vAlign w:val="center"/>
            <w:shd w:val="clear" w:color="auto" w:fill="F2F2F2"/>
          </w:tcPr>
          <w:p>
            <w:pPr>
              <w:spacing w:before="40" w:after="40"/>
            </w:pPr>
            <w:r>
              <w:rPr>
                <w:b/>
                <w:sz w:val="24"/>
              </w:rPr>
              <w:t>Дизайн</w:t>
            </w:r>
          </w:p>
        </w:tc>
        <w:tc>
          <w:tcPr>
            <w:tcW w:w="2256" w:type="dxa"/>
            <w:vAlign w:val="center"/>
            <w:shd w:val="clear" w:color="auto" w:fill="F2F2F2"/>
          </w:tcPr>
          <w:p>
            <w:pPr>
              <w:spacing w:before="40" w:after="40"/>
            </w:pPr>
            <w:r>
              <w:rPr>
                <w:b/>
                <w:sz w:val="24"/>
              </w:rPr>
              <w:t>Статус в итоговых утверждениях</w:t>
            </w:r>
          </w:p>
        </w:tc>
      </w:tr>
      <w:tr>
        <w:tc>
          <w:tcPr>
            <w:tcW w:w="2256" w:type="dxa"/>
            <w:vAlign w:val="center"/>
          </w:tcPr>
          <w:p>
            <w:pPr>
              <w:spacing w:before="40" w:after="40"/>
            </w:pPr>
            <w:r>
              <w:rPr>
                <w:sz w:val="24"/>
              </w:rPr>
              <w:t>Подтверждающая серия 211–213</w:t>
            </w:r>
          </w:p>
        </w:tc>
        <w:tc>
          <w:tcPr>
            <w:tcW w:w="2256" w:type="dxa"/>
            <w:vAlign w:val="center"/>
          </w:tcPr>
          <w:p>
            <w:pPr>
              <w:spacing w:before="40" w:after="40"/>
            </w:pPr>
            <w:r>
              <w:rPr>
                <w:sz w:val="24"/>
              </w:rPr>
              <w:t>Проверка эффекта DBR в многоветочном сравнении</w:t>
            </w:r>
          </w:p>
        </w:tc>
        <w:tc>
          <w:tcPr>
            <w:tcW w:w="2256" w:type="dxa"/>
            <w:vAlign w:val="center"/>
          </w:tcPr>
          <w:p>
            <w:pPr>
              <w:spacing w:before="40" w:after="40"/>
            </w:pPr>
            <w:r>
              <w:rPr>
                <w:sz w:val="24"/>
              </w:rPr>
              <w:t>3 запуска, Gen0–Gen2, ветви: обычное рециклирование, DBR, дополнительная контрольная ветвь</w:t>
            </w:r>
          </w:p>
        </w:tc>
        <w:tc>
          <w:tcPr>
            <w:tcW w:w="2256" w:type="dxa"/>
            <w:vAlign w:val="center"/>
          </w:tcPr>
          <w:p>
            <w:pPr>
              <w:spacing w:before="40" w:after="40"/>
            </w:pPr>
            <w:r>
              <w:rPr>
                <w:sz w:val="24"/>
              </w:rPr>
              <w:t>Основное количественное свидетельство (частично положительное)</w:t>
            </w:r>
          </w:p>
        </w:tc>
      </w:tr>
      <w:tr>
        <w:tc>
          <w:tcPr>
            <w:tcW w:w="2256" w:type="dxa"/>
            <w:vAlign w:val="center"/>
          </w:tcPr>
          <w:p>
            <w:pPr>
              <w:spacing w:before="40" w:after="40"/>
            </w:pPr>
            <w:r>
              <w:rPr>
                <w:sz w:val="24"/>
              </w:rPr>
              <w:t>Чистая DBR-серия 221–223</w:t>
            </w:r>
          </w:p>
        </w:tc>
        <w:tc>
          <w:tcPr>
            <w:tcW w:w="2256" w:type="dxa"/>
            <w:vAlign w:val="center"/>
          </w:tcPr>
          <w:p>
            <w:pPr>
              <w:spacing w:before="40" w:after="40"/>
            </w:pPr>
            <w:r>
              <w:rPr>
                <w:sz w:val="24"/>
              </w:rPr>
              <w:t>Проверка устойчивости эффекта без дополнительных ветвей</w:t>
            </w:r>
          </w:p>
        </w:tc>
        <w:tc>
          <w:tcPr>
            <w:tcW w:w="2256" w:type="dxa"/>
            <w:vAlign w:val="center"/>
          </w:tcPr>
          <w:p>
            <w:pPr>
              <w:spacing w:before="40" w:after="40"/>
            </w:pPr>
            <w:r>
              <w:rPr>
                <w:sz w:val="24"/>
              </w:rPr>
              <w:t>3 запуска, Gen0–Gen2, ветви: обычное рециклирование и DBR</w:t>
            </w:r>
          </w:p>
        </w:tc>
        <w:tc>
          <w:tcPr>
            <w:tcW w:w="2256" w:type="dxa"/>
            <w:vAlign w:val="center"/>
          </w:tcPr>
          <w:p>
            <w:pPr>
              <w:spacing w:before="40" w:after="40"/>
            </w:pPr>
            <w:r>
              <w:rPr>
                <w:sz w:val="24"/>
              </w:rPr>
              <w:t>Ключевая проверка устойчивости</w:t>
            </w:r>
          </w:p>
        </w:tc>
      </w:tr>
      <w:tr>
        <w:tc>
          <w:tcPr>
            <w:tcW w:w="2256" w:type="dxa"/>
            <w:vAlign w:val="center"/>
          </w:tcPr>
          <w:p>
            <w:pPr>
              <w:spacing w:before="40" w:after="40"/>
            </w:pPr>
            <w:r>
              <w:rPr>
                <w:sz w:val="24"/>
              </w:rPr>
              <w:t>CSR, вариант k=3</w:t>
            </w:r>
          </w:p>
        </w:tc>
        <w:tc>
          <w:tcPr>
            <w:tcW w:w="2256" w:type="dxa"/>
            <w:vAlign w:val="center"/>
          </w:tcPr>
          <w:p>
            <w:pPr>
              <w:spacing w:before="40" w:after="40"/>
            </w:pPr>
            <w:r>
              <w:rPr>
                <w:sz w:val="24"/>
              </w:rPr>
              <w:t>Проверка контрастного сигнала</w:t>
            </w:r>
          </w:p>
        </w:tc>
        <w:tc>
          <w:tcPr>
            <w:tcW w:w="2256" w:type="dxa"/>
            <w:vAlign w:val="center"/>
          </w:tcPr>
          <w:p>
            <w:pPr>
              <w:spacing w:before="40" w:after="40"/>
            </w:pPr>
            <w:r>
              <w:rPr>
                <w:sz w:val="24"/>
              </w:rPr>
              <w:t>1 запуск, Gen0–Gen2, 3 кандидата на задачу</w:t>
            </w:r>
          </w:p>
        </w:tc>
        <w:tc>
          <w:tcPr>
            <w:tcW w:w="2256" w:type="dxa"/>
            <w:vAlign w:val="center"/>
          </w:tcPr>
          <w:p>
            <w:pPr>
              <w:spacing w:before="40" w:after="40"/>
            </w:pPr>
            <w:r>
              <w:rPr>
                <w:sz w:val="24"/>
              </w:rPr>
              <w:t>Механистическое свидетельство</w:t>
            </w:r>
          </w:p>
        </w:tc>
      </w:tr>
      <w:tr>
        <w:tc>
          <w:tcPr>
            <w:tcW w:w="2256" w:type="dxa"/>
            <w:vAlign w:val="center"/>
          </w:tcPr>
          <w:p>
            <w:pPr>
              <w:spacing w:before="40" w:after="40"/>
            </w:pPr>
            <w:r>
              <w:rPr>
                <w:sz w:val="24"/>
              </w:rPr>
              <w:t>CSR, вариант k=5</w:t>
            </w:r>
          </w:p>
        </w:tc>
        <w:tc>
          <w:tcPr>
            <w:tcW w:w="2256" w:type="dxa"/>
            <w:vAlign w:val="center"/>
          </w:tcPr>
          <w:p>
            <w:pPr>
              <w:spacing w:before="40" w:after="40"/>
            </w:pPr>
            <w:r>
              <w:rPr>
                <w:sz w:val="24"/>
              </w:rPr>
              <w:t>Узкая настройка CSR по числу кандидатов</w:t>
            </w:r>
          </w:p>
        </w:tc>
        <w:tc>
          <w:tcPr>
            <w:tcW w:w="2256" w:type="dxa"/>
            <w:vAlign w:val="center"/>
          </w:tcPr>
          <w:p>
            <w:pPr>
              <w:spacing w:before="40" w:after="40"/>
            </w:pPr>
            <w:r>
              <w:rPr>
                <w:sz w:val="24"/>
              </w:rPr>
              <w:t>1 запуск, Gen0–Gen2, 5 кандидатов на задачу</w:t>
            </w:r>
          </w:p>
        </w:tc>
        <w:tc>
          <w:tcPr>
            <w:tcW w:w="2256" w:type="dxa"/>
            <w:vAlign w:val="center"/>
          </w:tcPr>
          <w:p>
            <w:pPr>
              <w:spacing w:before="40" w:after="40"/>
            </w:pPr>
            <w:r>
              <w:rPr>
                <w:sz w:val="24"/>
              </w:rPr>
              <w:t>Механистическое свидетельство</w:t>
            </w:r>
          </w:p>
        </w:tc>
      </w:tr>
      <w:tr>
        <w:tc>
          <w:tcPr>
            <w:tcW w:w="2256" w:type="dxa"/>
            <w:vAlign w:val="center"/>
          </w:tcPr>
          <w:p>
            <w:pPr>
              <w:spacing w:before="40" w:after="40"/>
            </w:pPr>
            <w:r>
              <w:rPr>
                <w:sz w:val="24"/>
              </w:rPr>
              <w:t>Дополнительная парная проверка Qwen3-235B</w:t>
            </w:r>
          </w:p>
        </w:tc>
        <w:tc>
          <w:tcPr>
            <w:tcW w:w="2256" w:type="dxa"/>
            <w:vAlign w:val="center"/>
          </w:tcPr>
          <w:p>
            <w:pPr>
              <w:spacing w:before="40" w:after="40"/>
            </w:pPr>
            <w:r>
              <w:rPr>
                <w:sz w:val="24"/>
              </w:rPr>
              <w:t>Проверка чувствительности к модели-судье</w:t>
            </w:r>
          </w:p>
        </w:tc>
        <w:tc>
          <w:tcPr>
            <w:tcW w:w="2256" w:type="dxa"/>
            <w:vAlign w:val="center"/>
          </w:tcPr>
          <w:p>
            <w:pPr>
              <w:spacing w:before="40" w:after="40"/>
            </w:pPr>
            <w:r>
              <w:rPr>
                <w:sz w:val="24"/>
              </w:rPr>
              <w:t>48 пар выбрано, 39 пар успешно оценено</w:t>
            </w:r>
          </w:p>
        </w:tc>
        <w:tc>
          <w:tcPr>
            <w:tcW w:w="2256" w:type="dxa"/>
            <w:vAlign w:val="center"/>
          </w:tcPr>
          <w:p>
            <w:pPr>
              <w:spacing w:before="40" w:after="40"/>
            </w:pPr>
            <w:r>
              <w:rPr>
                <w:sz w:val="24"/>
              </w:rPr>
              <w:t>Дополнительная устойчивость вывода</w:t>
            </w:r>
          </w:p>
        </w:tc>
      </w:tr>
      <w:tr>
        <w:tc>
          <w:tcPr>
            <w:tcW w:w="2256" w:type="dxa"/>
            <w:vAlign w:val="center"/>
          </w:tcPr>
          <w:p>
            <w:pPr>
              <w:spacing w:before="40" w:after="40"/>
            </w:pPr>
            <w:r>
              <w:rPr>
                <w:sz w:val="24"/>
              </w:rPr>
              <w:t>Ручной качественный просмотр</w:t>
            </w:r>
          </w:p>
        </w:tc>
        <w:tc>
          <w:tcPr>
            <w:tcW w:w="2256" w:type="dxa"/>
            <w:vAlign w:val="center"/>
          </w:tcPr>
          <w:p>
            <w:pPr>
              <w:spacing w:before="40" w:after="40"/>
            </w:pPr>
            <w:r>
              <w:rPr>
                <w:sz w:val="24"/>
              </w:rPr>
              <w:t>Качественная проверка содержательной приемлемости</w:t>
            </w:r>
          </w:p>
        </w:tc>
        <w:tc>
          <w:tcPr>
            <w:tcW w:w="2256" w:type="dxa"/>
            <w:vAlign w:val="center"/>
          </w:tcPr>
          <w:p>
            <w:pPr>
              <w:spacing w:before="40" w:after="40"/>
            </w:pPr>
            <w:r>
              <w:rPr>
                <w:sz w:val="24"/>
              </w:rPr>
              <w:t>35 пар</w:t>
            </w:r>
          </w:p>
        </w:tc>
        <w:tc>
          <w:tcPr>
            <w:tcW w:w="2256" w:type="dxa"/>
            <w:vAlign w:val="center"/>
          </w:tcPr>
          <w:p>
            <w:pPr>
              <w:spacing w:before="40" w:after="40"/>
            </w:pPr>
            <w:r>
              <w:rPr>
                <w:sz w:val="24"/>
              </w:rPr>
              <w:t>Sanity-check без формальной разметки</w:t>
            </w:r>
          </w:p>
        </w:tc>
      </w:tr>
    </w:tbl>
    <w:p/>
    <w:p/>
    <w:p>
      <w:pPr>
        <w:spacing w:after="80"/>
      </w:pPr>
      <w:r>
        <w:rPr>
          <w:sz w:val="24"/>
        </w:rPr>
        <w:t>Пояснение. Численные выводы формируются на основе пересчитанных таблиц из построчных данных.</w:t>
      </w:r>
    </w:p>
    <w:p/>
    <w:p>
      <w:pPr>
        <w:spacing w:after="80"/>
      </w:pPr>
      <w:r>
        <w:rPr>
          <w:sz w:val="24"/>
        </w:rPr>
        <w:t>Сокращения: k — число кандидатов в CSR на одну задачу.</w:t>
      </w:r>
    </w:p>
    <w:p/>
    <w:p>
      <w:pPr>
        <w:spacing w:before="220" w:after="120"/>
      </w:pPr>
      <w:r>
        <w:rPr>
          <w:b/>
          <w:sz w:val="30"/>
        </w:rPr>
        <w:t>7. Результаты</w:t>
      </w:r>
    </w:p>
    <w:p>
      <w:pPr>
        <w:spacing w:before="180" w:after="100"/>
      </w:pPr>
      <w:r>
        <w:rPr>
          <w:b/>
          <w:sz w:val="27"/>
        </w:rPr>
        <w:t>7.1. Дефектный риск в обычном рециклировании</w:t>
      </w:r>
    </w:p>
    <w:p>
      <w:pPr>
        <w:spacing w:after="80"/>
      </w:pPr>
      <w:r>
        <w:rPr>
          <w:sz w:val="24"/>
        </w:rPr>
        <w:t>В обеих семьях запусков строгий монотонный спад всех метрик обычного рециклирования не подтвержден. Однако сохраняется ненулевая дефектная нагрузка и неоднородная межпоколенческая динамика, что поддерживает интерпретацию дидактического коллапса как дефектного риска, а не как гарантированного линейного ухудшения.</w:t>
      </w:r>
    </w:p>
    <w:p/>
    <w:p>
      <w:pPr>
        <w:spacing w:before="180" w:after="100"/>
      </w:pPr>
      <w:r>
        <w:rPr>
          <w:b/>
          <w:sz w:val="27"/>
        </w:rPr>
        <w:t>7.2. Механизм DBR: покрытие и дефекты</w:t>
      </w:r>
    </w:p>
    <w:p>
      <w:pPr>
        <w:spacing w:before="180" w:after="100"/>
      </w:pPr>
      <w:r>
        <w:rPr>
          <w:b/>
          <w:sz w:val="27"/>
        </w:rPr>
        <w:t>Таблица 3. Механизм DBR: покрытие и дефекты до/после отбора</w:t>
      </w:r>
    </w:p>
    <w:tbl>
      <w:tblPr>
        <w:tblStyle w:val="TableGrid"/>
        <w:tblW w:w="9026" w:type="dxa"/>
        <w:tblBorders>
          <w:top w:val="single" w:sz="8" w:space="0" w:color="808080"/>
          <w:left w:val="single" w:sz="8" w:space="0" w:color="808080"/>
          <w:bottom w:val="single" w:sz="8" w:space="0" w:color="808080"/>
          <w:right w:val="single" w:sz="8" w:space="0" w:color="808080"/>
          <w:insideH w:val="single" w:sz="6" w:space="0" w:color="B0B0B0"/>
          <w:insideV w:val="single" w:sz="6" w:space="0" w:color="B0B0B0"/>
        </w:tblBorders>
        <w:tblCellMar>
          <w:top w:w="80" w:type="dxa"/>
          <w:left w:w="120" w:type="dxa"/>
          <w:bottom w:w="80" w:type="dxa"/>
          <w:right w:w="120" w:type="dxa"/>
        </w:tblCellMar>
      </w:tblPr>
      <w:tblGrid>
        <w:gridCol w:w="3008"/>
        <w:gridCol w:w="3008"/>
        <w:gridCol w:w="3008"/>
      </w:tblGrid>
      <w:tr>
        <w:tc>
          <w:tcPr>
            <w:tcW w:w="3008" w:type="dxa"/>
            <w:vAlign w:val="center"/>
            <w:shd w:val="clear" w:color="auto" w:fill="F2F2F2"/>
          </w:tcPr>
          <w:p>
            <w:pPr>
              <w:spacing w:before="40" w:after="40"/>
            </w:pPr>
            <w:r>
              <w:rPr>
                <w:b/>
                <w:sz w:val="24"/>
              </w:rPr>
              <w:t>Показатель</w:t>
            </w:r>
          </w:p>
        </w:tc>
        <w:tc>
          <w:tcPr>
            <w:tcW w:w="3008" w:type="dxa"/>
            <w:vAlign w:val="center"/>
            <w:shd w:val="clear" w:color="auto" w:fill="F2F2F2"/>
          </w:tcPr>
          <w:p>
            <w:pPr>
              <w:spacing w:before="40" w:after="40"/>
            </w:pPr>
            <w:r>
              <w:rPr>
                <w:b/>
                <w:sz w:val="24"/>
              </w:rPr>
              <w:t>Серия 211–213</w:t>
            </w:r>
          </w:p>
        </w:tc>
        <w:tc>
          <w:tcPr>
            <w:tcW w:w="3008" w:type="dxa"/>
            <w:vAlign w:val="center"/>
            <w:shd w:val="clear" w:color="auto" w:fill="F2F2F2"/>
          </w:tcPr>
          <w:p>
            <w:pPr>
              <w:spacing w:before="40" w:after="40"/>
            </w:pPr>
            <w:r>
              <w:rPr>
                <w:b/>
                <w:sz w:val="24"/>
              </w:rPr>
              <w:t>Серия 221–223</w:t>
            </w:r>
          </w:p>
        </w:tc>
      </w:tr>
      <w:tr>
        <w:tc>
          <w:tcPr>
            <w:tcW w:w="3008" w:type="dxa"/>
            <w:vAlign w:val="center"/>
          </w:tcPr>
          <w:p>
            <w:pPr>
              <w:spacing w:before="40" w:after="40"/>
            </w:pPr>
            <w:r>
              <w:rPr>
                <w:sz w:val="24"/>
              </w:rPr>
              <w:t>Среднее покрытие (selection rate)</w:t>
            </w:r>
          </w:p>
        </w:tc>
        <w:tc>
          <w:tcPr>
            <w:tcW w:w="3008" w:type="dxa"/>
            <w:vAlign w:val="center"/>
          </w:tcPr>
          <w:p>
            <w:pPr>
              <w:spacing w:before="40" w:after="40"/>
            </w:pPr>
            <w:r>
              <w:rPr>
                <w:sz w:val="24"/>
              </w:rPr>
              <w:t>0.9756</w:t>
            </w:r>
          </w:p>
        </w:tc>
        <w:tc>
          <w:tcPr>
            <w:tcW w:w="3008" w:type="dxa"/>
            <w:vAlign w:val="center"/>
          </w:tcPr>
          <w:p>
            <w:pPr>
              <w:spacing w:before="40" w:after="40"/>
            </w:pPr>
            <w:r>
              <w:rPr>
                <w:sz w:val="24"/>
              </w:rPr>
              <w:t>0.9656</w:t>
            </w:r>
          </w:p>
        </w:tc>
      </w:tr>
      <w:tr>
        <w:tc>
          <w:tcPr>
            <w:tcW w:w="3008" w:type="dxa"/>
            <w:vAlign w:val="center"/>
          </w:tcPr>
          <w:p>
            <w:pPr>
              <w:spacing w:before="40" w:after="40"/>
            </w:pPr>
            <w:r>
              <w:rPr>
                <w:sz w:val="24"/>
              </w:rPr>
              <w:t>Доля ошибок разбора после DBR</w:t>
            </w:r>
          </w:p>
        </w:tc>
        <w:tc>
          <w:tcPr>
            <w:tcW w:w="3008" w:type="dxa"/>
            <w:vAlign w:val="center"/>
          </w:tcPr>
          <w:p>
            <w:pPr>
              <w:spacing w:before="40" w:after="40"/>
            </w:pPr>
            <w:r>
              <w:rPr>
                <w:sz w:val="24"/>
              </w:rPr>
              <w:t>0.0000</w:t>
            </w:r>
          </w:p>
        </w:tc>
        <w:tc>
          <w:tcPr>
            <w:tcW w:w="3008" w:type="dxa"/>
            <w:vAlign w:val="center"/>
          </w:tcPr>
          <w:p>
            <w:pPr>
              <w:spacing w:before="40" w:after="40"/>
            </w:pPr>
            <w:r>
              <w:rPr>
                <w:sz w:val="24"/>
              </w:rPr>
              <w:t>0.0000</w:t>
            </w:r>
          </w:p>
        </w:tc>
      </w:tr>
      <w:tr>
        <w:tc>
          <w:tcPr>
            <w:tcW w:w="3008" w:type="dxa"/>
            <w:vAlign w:val="center"/>
          </w:tcPr>
          <w:p>
            <w:pPr>
              <w:spacing w:before="40" w:after="40"/>
            </w:pPr>
            <w:r>
              <w:rPr>
                <w:sz w:val="24"/>
              </w:rPr>
              <w:t>Средняя дельта incorrect (после − до)</w:t>
            </w:r>
          </w:p>
        </w:tc>
        <w:tc>
          <w:tcPr>
            <w:tcW w:w="3008" w:type="dxa"/>
            <w:vAlign w:val="center"/>
          </w:tcPr>
          <w:p>
            <w:pPr>
              <w:spacing w:before="40" w:after="40"/>
            </w:pPr>
            <w:r>
              <w:rPr>
                <w:sz w:val="24"/>
              </w:rPr>
              <w:t>-0.0114</w:t>
            </w:r>
          </w:p>
        </w:tc>
        <w:tc>
          <w:tcPr>
            <w:tcW w:w="3008" w:type="dxa"/>
            <w:vAlign w:val="center"/>
          </w:tcPr>
          <w:p>
            <w:pPr>
              <w:spacing w:before="40" w:after="40"/>
            </w:pPr>
            <w:r>
              <w:rPr>
                <w:sz w:val="24"/>
              </w:rPr>
              <w:t>-0.0153</w:t>
            </w:r>
          </w:p>
        </w:tc>
      </w:tr>
      <w:tr>
        <w:tc>
          <w:tcPr>
            <w:tcW w:w="3008" w:type="dxa"/>
            <w:vAlign w:val="center"/>
          </w:tcPr>
          <w:p>
            <w:pPr>
              <w:spacing w:before="40" w:after="40"/>
            </w:pPr>
            <w:r>
              <w:rPr>
                <w:sz w:val="24"/>
              </w:rPr>
              <w:t>Средняя дельта low_reasoning (после − до)</w:t>
            </w:r>
          </w:p>
        </w:tc>
        <w:tc>
          <w:tcPr>
            <w:tcW w:w="3008" w:type="dxa"/>
            <w:vAlign w:val="center"/>
          </w:tcPr>
          <w:p>
            <w:pPr>
              <w:spacing w:before="40" w:after="40"/>
            </w:pPr>
            <w:r>
              <w:rPr>
                <w:sz w:val="24"/>
              </w:rPr>
              <w:t>-0.0113</w:t>
            </w:r>
          </w:p>
        </w:tc>
        <w:tc>
          <w:tcPr>
            <w:tcW w:w="3008" w:type="dxa"/>
            <w:vAlign w:val="center"/>
          </w:tcPr>
          <w:p>
            <w:pPr>
              <w:spacing w:before="40" w:after="40"/>
            </w:pPr>
            <w:r>
              <w:rPr>
                <w:sz w:val="24"/>
              </w:rPr>
              <w:t>-0.0076</w:t>
            </w:r>
          </w:p>
        </w:tc>
      </w:tr>
      <w:tr>
        <w:tc>
          <w:tcPr>
            <w:tcW w:w="3008" w:type="dxa"/>
            <w:vAlign w:val="center"/>
          </w:tcPr>
          <w:p>
            <w:pPr>
              <w:spacing w:before="40" w:after="40"/>
            </w:pPr>
            <w:r>
              <w:rPr>
                <w:sz w:val="24"/>
              </w:rPr>
              <w:t>Средняя дельта low_structure (после − до)</w:t>
            </w:r>
          </w:p>
        </w:tc>
        <w:tc>
          <w:tcPr>
            <w:tcW w:w="3008" w:type="dxa"/>
            <w:vAlign w:val="center"/>
          </w:tcPr>
          <w:p>
            <w:pPr>
              <w:spacing w:before="40" w:after="40"/>
            </w:pPr>
            <w:r>
              <w:rPr>
                <w:sz w:val="24"/>
              </w:rPr>
              <w:t>-0.0148</w:t>
            </w:r>
          </w:p>
        </w:tc>
        <w:tc>
          <w:tcPr>
            <w:tcW w:w="3008" w:type="dxa"/>
            <w:vAlign w:val="center"/>
          </w:tcPr>
          <w:p>
            <w:pPr>
              <w:spacing w:before="40" w:after="40"/>
            </w:pPr>
            <w:r>
              <w:rPr>
                <w:sz w:val="24"/>
              </w:rPr>
              <w:t>-0.0068</w:t>
            </w:r>
          </w:p>
        </w:tc>
      </w:tr>
      <w:tr>
        <w:tc>
          <w:tcPr>
            <w:tcW w:w="3008" w:type="dxa"/>
            <w:vAlign w:val="center"/>
          </w:tcPr>
          <w:p>
            <w:pPr>
              <w:spacing w:before="40" w:after="40"/>
            </w:pPr>
            <w:r>
              <w:rPr>
                <w:sz w:val="24"/>
              </w:rPr>
              <w:t>Средняя дельта silent_error (после − до)</w:t>
            </w:r>
          </w:p>
        </w:tc>
        <w:tc>
          <w:tcPr>
            <w:tcW w:w="3008" w:type="dxa"/>
            <w:vAlign w:val="center"/>
          </w:tcPr>
          <w:p>
            <w:pPr>
              <w:spacing w:before="40" w:after="40"/>
            </w:pPr>
            <w:r>
              <w:rPr>
                <w:sz w:val="24"/>
              </w:rPr>
              <w:t>-0.0030</w:t>
            </w:r>
          </w:p>
        </w:tc>
        <w:tc>
          <w:tcPr>
            <w:tcW w:w="3008" w:type="dxa"/>
            <w:vAlign w:val="center"/>
          </w:tcPr>
          <w:p>
            <w:pPr>
              <w:spacing w:before="40" w:after="40"/>
            </w:pPr>
            <w:r>
              <w:rPr>
                <w:sz w:val="24"/>
              </w:rPr>
              <w:t>-0.0083</w:t>
            </w:r>
          </w:p>
        </w:tc>
      </w:tr>
    </w:tbl>
    <w:p/>
    <w:p/>
    <w:p>
      <w:pPr>
        <w:spacing w:after="80"/>
      </w:pPr>
      <w:r>
        <w:rPr>
          <w:sz w:val="24"/>
        </w:rPr>
        <w:t>Пояснение. Отрицательная дельта «после − до» означает снижение дефекта относительно исходного пула кандидатов.</w:t>
      </w:r>
    </w:p>
    <w:p/>
    <w:p>
      <w:pPr>
        <w:spacing w:after="80"/>
      </w:pPr>
      <w:r>
        <w:rPr>
          <w:sz w:val="24"/>
        </w:rPr>
        <w:t>Сокращения: incorrect — доля неправильных ответов; low_reasoning — доля дефекта рассуждения; low_structure — доля дефекта структуры; silent_error — доля скрытых педагогических ошибок.</w:t>
      </w:r>
    </w:p>
    <w:p/>
    <w:p>
      <w:pPr>
        <w:spacing w:after="80"/>
      </w:pPr>
      <w:r>
        <w:rPr>
          <w:sz w:val="24"/>
        </w:rPr>
        <w:t>Интерпретация. Наиболее устойчивые эффекты DBR связаны с сохранением покрытия и подавлением ошибок разбора. Снижение остальных дефектов умеренное, что согласуется с осторожной интерпретацией метода как контроллера риска, а не универсального улучшателя всех показателей.</w:t>
      </w:r>
    </w:p>
    <w:p/>
    <w:p>
      <w:pPr>
        <w:spacing w:before="180" w:after="100"/>
      </w:pPr>
      <w:r>
        <w:rPr>
          <w:b/>
          <w:sz w:val="27"/>
        </w:rPr>
        <w:t>7.3. Итоговые эффекты DBR на Gen2</w:t>
      </w:r>
    </w:p>
    <w:p>
      <w:pPr>
        <w:spacing w:before="180" w:after="100"/>
      </w:pPr>
      <w:r>
        <w:rPr>
          <w:b/>
          <w:sz w:val="27"/>
        </w:rPr>
        <w:t>Таблица 4. Итоговые эффекты DBR на Gen2 (дельта DBR − обычное рециклирование)</w:t>
      </w:r>
    </w:p>
    <w:tbl>
      <w:tblPr>
        <w:tblStyle w:val="TableGrid"/>
        <w:tblW w:w="9026" w:type="dxa"/>
        <w:tblBorders>
          <w:top w:val="single" w:sz="8" w:space="0" w:color="808080"/>
          <w:left w:val="single" w:sz="8" w:space="0" w:color="808080"/>
          <w:bottom w:val="single" w:sz="8" w:space="0" w:color="808080"/>
          <w:right w:val="single" w:sz="8" w:space="0" w:color="808080"/>
          <w:insideH w:val="single" w:sz="6" w:space="0" w:color="B0B0B0"/>
          <w:insideV w:val="single" w:sz="6" w:space="0" w:color="B0B0B0"/>
        </w:tblBorders>
        <w:tblCellMar>
          <w:top w:w="80" w:type="dxa"/>
          <w:left w:w="120" w:type="dxa"/>
          <w:bottom w:w="80" w:type="dxa"/>
          <w:right w:w="120" w:type="dxa"/>
        </w:tblCellMar>
      </w:tblPr>
      <w:tblGrid>
        <w:gridCol w:w="1805"/>
        <w:gridCol w:w="1805"/>
        <w:gridCol w:w="1805"/>
        <w:gridCol w:w="1805"/>
        <w:gridCol w:w="1805"/>
      </w:tblGrid>
      <w:tr>
        <w:tc>
          <w:tcPr>
            <w:tcW w:w="1805" w:type="dxa"/>
            <w:vAlign w:val="center"/>
            <w:shd w:val="clear" w:color="auto" w:fill="F2F2F2"/>
          </w:tcPr>
          <w:p>
            <w:pPr>
              <w:spacing w:before="40" w:after="40"/>
            </w:pPr>
            <w:r>
              <w:rPr>
                <w:b/>
                <w:sz w:val="24"/>
              </w:rPr>
              <w:t>Серия</w:t>
            </w:r>
          </w:p>
        </w:tc>
        <w:tc>
          <w:tcPr>
            <w:tcW w:w="1805" w:type="dxa"/>
            <w:vAlign w:val="center"/>
            <w:shd w:val="clear" w:color="auto" w:fill="F2F2F2"/>
          </w:tcPr>
          <w:p>
            <w:pPr>
              <w:spacing w:before="40" w:after="40"/>
            </w:pPr>
            <w:r>
              <w:rPr>
                <w:b/>
                <w:sz w:val="24"/>
              </w:rPr>
              <w:t>Метрика</w:t>
            </w:r>
          </w:p>
        </w:tc>
        <w:tc>
          <w:tcPr>
            <w:tcW w:w="1805" w:type="dxa"/>
            <w:vAlign w:val="center"/>
            <w:shd w:val="clear" w:color="auto" w:fill="F2F2F2"/>
          </w:tcPr>
          <w:p>
            <w:pPr>
              <w:spacing w:before="40" w:after="40"/>
            </w:pPr>
            <w:r>
              <w:rPr>
                <w:b/>
                <w:sz w:val="24"/>
              </w:rPr>
              <w:t>Средняя дельта</w:t>
            </w:r>
          </w:p>
        </w:tc>
        <w:tc>
          <w:tcPr>
            <w:tcW w:w="1805" w:type="dxa"/>
            <w:vAlign w:val="center"/>
            <w:shd w:val="clear" w:color="auto" w:fill="F2F2F2"/>
          </w:tcPr>
          <w:p>
            <w:pPr>
              <w:spacing w:before="40" w:after="40"/>
            </w:pPr>
            <w:r>
              <w:rPr>
                <w:b/>
                <w:sz w:val="24"/>
              </w:rPr>
              <w:t>Стандартное отклонение</w:t>
            </w:r>
          </w:p>
        </w:tc>
        <w:tc>
          <w:tcPr>
            <w:tcW w:w="1805" w:type="dxa"/>
            <w:vAlign w:val="center"/>
            <w:shd w:val="clear" w:color="auto" w:fill="F2F2F2"/>
          </w:tcPr>
          <w:p>
            <w:pPr>
              <w:spacing w:before="40" w:after="40"/>
            </w:pPr>
            <w:r>
              <w:rPr>
                <w:b/>
                <w:sz w:val="24"/>
              </w:rPr>
              <w:t>95% доверительный интервал</w:t>
            </w:r>
          </w:p>
        </w:tc>
      </w:tr>
      <w:tr>
        <w:tc>
          <w:tcPr>
            <w:tcW w:w="1805" w:type="dxa"/>
            <w:vAlign w:val="center"/>
          </w:tcPr>
          <w:p>
            <w:pPr>
              <w:spacing w:before="40" w:after="40"/>
            </w:pPr>
            <w:r>
              <w:rPr>
                <w:sz w:val="24"/>
              </w:rPr>
              <w:t>211–213</w:t>
            </w:r>
          </w:p>
        </w:tc>
        <w:tc>
          <w:tcPr>
            <w:tcW w:w="1805" w:type="dxa"/>
            <w:vAlign w:val="center"/>
          </w:tcPr>
          <w:p>
            <w:pPr>
              <w:spacing w:before="40" w:after="40"/>
            </w:pPr>
            <w:r>
              <w:rPr>
                <w:sz w:val="24"/>
              </w:rPr>
              <w:t>Точность</w:t>
            </w:r>
          </w:p>
        </w:tc>
        <w:tc>
          <w:tcPr>
            <w:tcW w:w="1805" w:type="dxa"/>
            <w:vAlign w:val="center"/>
          </w:tcPr>
          <w:p>
            <w:pPr>
              <w:spacing w:before="40" w:after="40"/>
            </w:pPr>
            <w:r>
              <w:rPr>
                <w:sz w:val="24"/>
              </w:rPr>
              <w:t>+0.0625</w:t>
            </w:r>
          </w:p>
        </w:tc>
        <w:tc>
          <w:tcPr>
            <w:tcW w:w="1805" w:type="dxa"/>
            <w:vAlign w:val="center"/>
          </w:tcPr>
          <w:p>
            <w:pPr>
              <w:spacing w:before="40" w:after="40"/>
            </w:pPr>
            <w:r>
              <w:rPr>
                <w:sz w:val="24"/>
              </w:rPr>
              <w:t>0.1121</w:t>
            </w:r>
          </w:p>
        </w:tc>
        <w:tc>
          <w:tcPr>
            <w:tcW w:w="1805" w:type="dxa"/>
            <w:vAlign w:val="center"/>
          </w:tcPr>
          <w:p>
            <w:pPr>
              <w:spacing w:before="40" w:after="40"/>
            </w:pPr>
            <w:r>
              <w:rPr>
                <w:sz w:val="24"/>
              </w:rPr>
              <w:t>[-0.0644; +0.1894]</w:t>
            </w:r>
          </w:p>
        </w:tc>
      </w:tr>
      <w:tr>
        <w:tc>
          <w:tcPr>
            <w:tcW w:w="1805" w:type="dxa"/>
            <w:vAlign w:val="center"/>
          </w:tcPr>
          <w:p>
            <w:pPr>
              <w:spacing w:before="40" w:after="40"/>
            </w:pPr>
            <w:r>
              <w:rPr>
                <w:sz w:val="24"/>
              </w:rPr>
              <w:t>211–213</w:t>
            </w:r>
          </w:p>
        </w:tc>
        <w:tc>
          <w:tcPr>
            <w:tcW w:w="1805" w:type="dxa"/>
            <w:vAlign w:val="center"/>
          </w:tcPr>
          <w:p>
            <w:pPr>
              <w:spacing w:before="40" w:after="40"/>
            </w:pPr>
            <w:r>
              <w:rPr>
                <w:sz w:val="24"/>
              </w:rPr>
              <w:t>Педагогическая оценка</w:t>
            </w:r>
          </w:p>
        </w:tc>
        <w:tc>
          <w:tcPr>
            <w:tcW w:w="1805" w:type="dxa"/>
            <w:vAlign w:val="center"/>
          </w:tcPr>
          <w:p>
            <w:pPr>
              <w:spacing w:before="40" w:after="40"/>
            </w:pPr>
            <w:r>
              <w:rPr>
                <w:sz w:val="24"/>
              </w:rPr>
              <w:t>+0.1461</w:t>
            </w:r>
          </w:p>
        </w:tc>
        <w:tc>
          <w:tcPr>
            <w:tcW w:w="1805" w:type="dxa"/>
            <w:vAlign w:val="center"/>
          </w:tcPr>
          <w:p>
            <w:pPr>
              <w:spacing w:before="40" w:after="40"/>
            </w:pPr>
            <w:r>
              <w:rPr>
                <w:sz w:val="24"/>
              </w:rPr>
              <w:t>0.6935</w:t>
            </w:r>
          </w:p>
        </w:tc>
        <w:tc>
          <w:tcPr>
            <w:tcW w:w="1805" w:type="dxa"/>
            <w:vAlign w:val="center"/>
          </w:tcPr>
          <w:p>
            <w:pPr>
              <w:spacing w:before="40" w:after="40"/>
            </w:pPr>
            <w:r>
              <w:rPr>
                <w:sz w:val="24"/>
              </w:rPr>
              <w:t>[-0.6387; +0.9309]</w:t>
            </w:r>
          </w:p>
        </w:tc>
      </w:tr>
      <w:tr>
        <w:tc>
          <w:tcPr>
            <w:tcW w:w="1805" w:type="dxa"/>
            <w:vAlign w:val="center"/>
          </w:tcPr>
          <w:p>
            <w:pPr>
              <w:spacing w:before="40" w:after="40"/>
            </w:pPr>
            <w:r>
              <w:rPr>
                <w:sz w:val="24"/>
              </w:rPr>
              <w:t>211–213</w:t>
            </w:r>
          </w:p>
        </w:tc>
        <w:tc>
          <w:tcPr>
            <w:tcW w:w="1805" w:type="dxa"/>
            <w:vAlign w:val="center"/>
          </w:tcPr>
          <w:p>
            <w:pPr>
              <w:spacing w:before="40" w:after="40"/>
            </w:pPr>
            <w:r>
              <w:rPr>
                <w:sz w:val="24"/>
              </w:rPr>
              <w:t>Доля скрытых ошибок</w:t>
            </w:r>
          </w:p>
        </w:tc>
        <w:tc>
          <w:tcPr>
            <w:tcW w:w="1805" w:type="dxa"/>
            <w:vAlign w:val="center"/>
          </w:tcPr>
          <w:p>
            <w:pPr>
              <w:spacing w:before="40" w:after="40"/>
            </w:pPr>
            <w:r>
              <w:rPr>
                <w:sz w:val="24"/>
              </w:rPr>
              <w:t>-0.0636</w:t>
            </w:r>
          </w:p>
        </w:tc>
        <w:tc>
          <w:tcPr>
            <w:tcW w:w="1805" w:type="dxa"/>
            <w:vAlign w:val="center"/>
          </w:tcPr>
          <w:p>
            <w:pPr>
              <w:spacing w:before="40" w:after="40"/>
            </w:pPr>
            <w:r>
              <w:rPr>
                <w:sz w:val="24"/>
              </w:rPr>
              <w:t>0.0512</w:t>
            </w:r>
          </w:p>
        </w:tc>
        <w:tc>
          <w:tcPr>
            <w:tcW w:w="1805" w:type="dxa"/>
            <w:vAlign w:val="center"/>
          </w:tcPr>
          <w:p>
            <w:pPr>
              <w:spacing w:before="40" w:after="40"/>
            </w:pPr>
            <w:r>
              <w:rPr>
                <w:sz w:val="24"/>
              </w:rPr>
              <w:t>[-0.1216; -0.0057]</w:t>
            </w:r>
          </w:p>
        </w:tc>
      </w:tr>
      <w:tr>
        <w:tc>
          <w:tcPr>
            <w:tcW w:w="1805" w:type="dxa"/>
            <w:vAlign w:val="center"/>
          </w:tcPr>
          <w:p>
            <w:pPr>
              <w:spacing w:before="40" w:after="40"/>
            </w:pPr>
            <w:r>
              <w:rPr>
                <w:sz w:val="24"/>
              </w:rPr>
              <w:t>221–223 (чистая DBR-серия)</w:t>
            </w:r>
          </w:p>
        </w:tc>
        <w:tc>
          <w:tcPr>
            <w:tcW w:w="1805" w:type="dxa"/>
            <w:vAlign w:val="center"/>
          </w:tcPr>
          <w:p>
            <w:pPr>
              <w:spacing w:before="40" w:after="40"/>
            </w:pPr>
            <w:r>
              <w:rPr>
                <w:sz w:val="24"/>
              </w:rPr>
              <w:t>Точность</w:t>
            </w:r>
          </w:p>
        </w:tc>
        <w:tc>
          <w:tcPr>
            <w:tcW w:w="1805" w:type="dxa"/>
            <w:vAlign w:val="center"/>
          </w:tcPr>
          <w:p>
            <w:pPr>
              <w:spacing w:before="40" w:after="40"/>
            </w:pPr>
            <w:r>
              <w:rPr>
                <w:sz w:val="24"/>
              </w:rPr>
              <w:t>+0.0333</w:t>
            </w:r>
          </w:p>
        </w:tc>
        <w:tc>
          <w:tcPr>
            <w:tcW w:w="1805" w:type="dxa"/>
            <w:vAlign w:val="center"/>
          </w:tcPr>
          <w:p>
            <w:pPr>
              <w:spacing w:before="40" w:after="40"/>
            </w:pPr>
            <w:r>
              <w:rPr>
                <w:sz w:val="24"/>
              </w:rPr>
              <w:t>0.0321</w:t>
            </w:r>
          </w:p>
        </w:tc>
        <w:tc>
          <w:tcPr>
            <w:tcW w:w="1805" w:type="dxa"/>
            <w:vAlign w:val="center"/>
          </w:tcPr>
          <w:p>
            <w:pPr>
              <w:spacing w:before="40" w:after="40"/>
            </w:pPr>
            <w:r>
              <w:rPr>
                <w:sz w:val="24"/>
              </w:rPr>
              <w:t>[-0.0030; +0.0697]</w:t>
            </w:r>
          </w:p>
        </w:tc>
      </w:tr>
      <w:tr>
        <w:tc>
          <w:tcPr>
            <w:tcW w:w="1805" w:type="dxa"/>
            <w:vAlign w:val="center"/>
          </w:tcPr>
          <w:p>
            <w:pPr>
              <w:spacing w:before="40" w:after="40"/>
            </w:pPr>
            <w:r>
              <w:rPr>
                <w:sz w:val="24"/>
              </w:rPr>
              <w:t>221–223 (чистая DBR-серия)</w:t>
            </w:r>
          </w:p>
        </w:tc>
        <w:tc>
          <w:tcPr>
            <w:tcW w:w="1805" w:type="dxa"/>
            <w:vAlign w:val="center"/>
          </w:tcPr>
          <w:p>
            <w:pPr>
              <w:spacing w:before="40" w:after="40"/>
            </w:pPr>
            <w:r>
              <w:rPr>
                <w:sz w:val="24"/>
              </w:rPr>
              <w:t>Педагогическая оценка</w:t>
            </w:r>
          </w:p>
        </w:tc>
        <w:tc>
          <w:tcPr>
            <w:tcW w:w="1805" w:type="dxa"/>
            <w:vAlign w:val="center"/>
          </w:tcPr>
          <w:p>
            <w:pPr>
              <w:spacing w:before="40" w:after="40"/>
            </w:pPr>
            <w:r>
              <w:rPr>
                <w:sz w:val="24"/>
              </w:rPr>
              <w:t>+0.0200</w:t>
            </w:r>
          </w:p>
        </w:tc>
        <w:tc>
          <w:tcPr>
            <w:tcW w:w="1805" w:type="dxa"/>
            <w:vAlign w:val="center"/>
          </w:tcPr>
          <w:p>
            <w:pPr>
              <w:spacing w:before="40" w:after="40"/>
            </w:pPr>
            <w:r>
              <w:rPr>
                <w:sz w:val="24"/>
              </w:rPr>
              <w:t>0.4649</w:t>
            </w:r>
          </w:p>
        </w:tc>
        <w:tc>
          <w:tcPr>
            <w:tcW w:w="1805" w:type="dxa"/>
            <w:vAlign w:val="center"/>
          </w:tcPr>
          <w:p>
            <w:pPr>
              <w:spacing w:before="40" w:after="40"/>
            </w:pPr>
            <w:r>
              <w:rPr>
                <w:sz w:val="24"/>
              </w:rPr>
              <w:t>[-0.5060; +0.5460]</w:t>
            </w:r>
          </w:p>
        </w:tc>
      </w:tr>
      <w:tr>
        <w:tc>
          <w:tcPr>
            <w:tcW w:w="1805" w:type="dxa"/>
            <w:vAlign w:val="center"/>
          </w:tcPr>
          <w:p>
            <w:pPr>
              <w:spacing w:before="40" w:after="40"/>
            </w:pPr>
            <w:r>
              <w:rPr>
                <w:sz w:val="24"/>
              </w:rPr>
              <w:t>221–223 (чистая DBR-серия)</w:t>
            </w:r>
          </w:p>
        </w:tc>
        <w:tc>
          <w:tcPr>
            <w:tcW w:w="1805" w:type="dxa"/>
            <w:vAlign w:val="center"/>
          </w:tcPr>
          <w:p>
            <w:pPr>
              <w:spacing w:before="40" w:after="40"/>
            </w:pPr>
            <w:r>
              <w:rPr>
                <w:sz w:val="24"/>
              </w:rPr>
              <w:t>Доля скрытых ошибок</w:t>
            </w:r>
          </w:p>
        </w:tc>
        <w:tc>
          <w:tcPr>
            <w:tcW w:w="1805" w:type="dxa"/>
            <w:vAlign w:val="center"/>
          </w:tcPr>
          <w:p>
            <w:pPr>
              <w:spacing w:before="40" w:after="40"/>
            </w:pPr>
            <w:r>
              <w:rPr>
                <w:sz w:val="24"/>
              </w:rPr>
              <w:t>+0.0267</w:t>
            </w:r>
          </w:p>
        </w:tc>
        <w:tc>
          <w:tcPr>
            <w:tcW w:w="1805" w:type="dxa"/>
            <w:vAlign w:val="center"/>
          </w:tcPr>
          <w:p>
            <w:pPr>
              <w:spacing w:before="40" w:after="40"/>
            </w:pPr>
            <w:r>
              <w:rPr>
                <w:sz w:val="24"/>
              </w:rPr>
              <w:t>0.0473</w:t>
            </w:r>
          </w:p>
        </w:tc>
        <w:tc>
          <w:tcPr>
            <w:tcW w:w="1805" w:type="dxa"/>
            <w:vAlign w:val="center"/>
          </w:tcPr>
          <w:p>
            <w:pPr>
              <w:spacing w:before="40" w:after="40"/>
            </w:pPr>
            <w:r>
              <w:rPr>
                <w:sz w:val="24"/>
              </w:rPr>
              <w:t>[-0.0268; +0.0801]</w:t>
            </w:r>
          </w:p>
        </w:tc>
      </w:tr>
    </w:tbl>
    <w:p/>
    <w:p/>
    <w:p>
      <w:pPr>
        <w:spacing w:after="80"/>
      </w:pPr>
      <w:r>
        <w:rPr>
          <w:sz w:val="24"/>
        </w:rPr>
        <w:t>Пояснение. Для доли скрытых ошибок отрицательная дельта соответствует улучшению, положительная — ухудшению.</w:t>
      </w:r>
    </w:p>
    <w:p/>
    <w:p>
      <w:pPr>
        <w:spacing w:after="80"/>
      </w:pPr>
      <w:r>
        <w:rPr>
          <w:sz w:val="24"/>
        </w:rPr>
        <w:t>Сокращения: 95% ДИ — 95% доверительный интервал.</w:t>
      </w:r>
    </w:p>
    <w:p/>
    <w:p>
      <w:pPr>
        <w:spacing w:after="80"/>
      </w:pPr>
      <w:r>
        <w:rPr>
          <w:sz w:val="24"/>
        </w:rPr>
        <w:t>Интерпретация. Подтверждающая серия 211–213 дает более выраженный положительный сигнал. В чистой серии 221–223 эффект по педагогической оценке близок к нулю, а по скрытым ошибкам — смешанный. Поскольку доверительные интервалы по части метрик включают ноль, итоговые эффекты DBR следует трактовать как смешанные и чувствительные к запуску.</w:t>
      </w:r>
    </w:p>
    <w:p/>
    <w:p>
      <w:pPr>
        <w:spacing w:before="180" w:after="100"/>
      </w:pPr>
      <w:r>
        <w:rPr>
          <w:b/>
          <w:sz w:val="27"/>
        </w:rPr>
        <w:t>7.4. Краткий вывод по разделу результатов</w:t>
      </w:r>
    </w:p>
    <w:p>
      <w:pPr>
        <w:spacing w:after="80"/>
      </w:pPr>
      <w:r>
        <w:rPr>
          <w:sz w:val="24"/>
        </w:rPr>
        <w:t>DBR демонстрирует устойчивые механистические преимущества (высокое покрытие и подавление ошибок разбора) и частично положительные итоговые эффекты. Сила улучшений по педагогической оценке и скрытым ошибкам остается ограниченной и вариативной.</w:t>
      </w:r>
    </w:p>
    <w:p/>
    <w:p>
      <w:pPr>
        <w:spacing w:before="180" w:after="100"/>
      </w:pPr>
      <w:r>
        <w:rPr>
          <w:b/>
          <w:sz w:val="27"/>
        </w:rPr>
        <w:t>7.5. Графическая иллюстрация результатов</w:t>
      </w:r>
    </w:p>
    <w:p>
      <w:pPr>
        <w:spacing w:after="80"/>
      </w:pPr>
      <w:r>
        <w:rPr>
          <w:sz w:val="24"/>
        </w:rPr>
        <w:t>Рисунок 1. Динамика точности, педагогической оценки и доли скрытых ошибок по поколениям для обычного рециклирования и DBR.</w:t>
      </w:r>
    </w:p>
    <w:p>
      <w:pPr>
        <w:spacing w:after="80"/>
      </w:pPr>
      <w:r>
        <w:rPr>
          <w:sz w:val="24"/>
        </w:rPr>
        <w:t>Пояснение: график отражает тренды на уровне серий, но не заменяет оценку доверительных интервалов.</w:t>
      </w:r>
    </w:p>
    <w:p/>
    <w:p>
      <w:pPr>
        <w:spacing w:after="80"/>
      </w:pPr>
      <w:r>
        <w:rPr>
          <w:sz w:val="24"/>
        </w:rPr>
        <w:t>Рисунок 2. Изменение дефектного профиля до и после DBR.</w:t>
      </w:r>
    </w:p>
    <w:p>
      <w:pPr>
        <w:spacing w:after="80"/>
      </w:pPr>
      <w:r>
        <w:rPr>
          <w:sz w:val="24"/>
        </w:rPr>
        <w:t>Пояснение: визуализация показывает механизм метода (контроль дефектов), а не автоматически гарантирует итоговый выигрыш по каждой целевой метрике.</w:t>
      </w:r>
    </w:p>
    <w:p/>
    <w:p>
      <w:pPr>
        <w:spacing w:after="80"/>
      </w:pPr>
      <w:r>
        <w:rPr>
          <w:sz w:val="24"/>
        </w:rPr>
        <w:t>Рисунок 3. Контрастный разрыв качества между лучшим и худшим объяснением в CSR.</w:t>
      </w:r>
    </w:p>
    <w:p>
      <w:pPr>
        <w:spacing w:after="80"/>
      </w:pPr>
      <w:r>
        <w:rPr>
          <w:sz w:val="24"/>
        </w:rPr>
        <w:t>Пояснение: рисунок подтверждает наличие контрастного сигнала, но не является доказательством итогового превосходства CSR как ветви.</w:t>
      </w:r>
    </w:p>
    <w:p/>
    <w:p>
      <w:pPr>
        <w:spacing w:before="220" w:after="120"/>
      </w:pPr>
      <w:r>
        <w:rPr>
          <w:b/>
          <w:sz w:val="30"/>
        </w:rPr>
        <w:t>8. Дополнительный контрастивный анализ</w:t>
      </w:r>
    </w:p>
    <w:p>
      <w:pPr>
        <w:spacing w:before="180" w:after="100"/>
      </w:pPr>
      <w:r>
        <w:rPr>
          <w:b/>
          <w:sz w:val="27"/>
        </w:rPr>
        <w:t>Таблица 5. Контрастивный сигнал CSR</w:t>
      </w:r>
    </w:p>
    <w:tbl>
      <w:tblPr>
        <w:tblStyle w:val="TableGrid"/>
        <w:tblW w:w="9026" w:type="dxa"/>
        <w:tblBorders>
          <w:top w:val="single" w:sz="8" w:space="0" w:color="808080"/>
          <w:left w:val="single" w:sz="8" w:space="0" w:color="808080"/>
          <w:bottom w:val="single" w:sz="8" w:space="0" w:color="808080"/>
          <w:right w:val="single" w:sz="8" w:space="0" w:color="808080"/>
          <w:insideH w:val="single" w:sz="6" w:space="0" w:color="B0B0B0"/>
          <w:insideV w:val="single" w:sz="6" w:space="0" w:color="B0B0B0"/>
        </w:tblBorders>
        <w:tblCellMar>
          <w:top w:w="80" w:type="dxa"/>
          <w:left w:w="120" w:type="dxa"/>
          <w:bottom w:w="80" w:type="dxa"/>
          <w:right w:w="120" w:type="dxa"/>
        </w:tblCellMar>
      </w:tblPr>
      <w:tblGrid>
        <w:gridCol w:w="1805"/>
        <w:gridCol w:w="1805"/>
        <w:gridCol w:w="1805"/>
        <w:gridCol w:w="1805"/>
        <w:gridCol w:w="1805"/>
      </w:tblGrid>
      <w:tr>
        <w:tc>
          <w:tcPr>
            <w:tcW w:w="1805" w:type="dxa"/>
            <w:vAlign w:val="center"/>
            <w:shd w:val="clear" w:color="auto" w:fill="F2F2F2"/>
          </w:tcPr>
          <w:p>
            <w:pPr>
              <w:spacing w:before="40" w:after="40"/>
            </w:pPr>
            <w:r>
              <w:rPr>
                <w:b/>
                <w:sz w:val="24"/>
              </w:rPr>
              <w:t>Вариант CSR</w:t>
            </w:r>
          </w:p>
        </w:tc>
        <w:tc>
          <w:tcPr>
            <w:tcW w:w="1805" w:type="dxa"/>
            <w:vAlign w:val="center"/>
            <w:shd w:val="clear" w:color="auto" w:fill="F2F2F2"/>
          </w:tcPr>
          <w:p>
            <w:pPr>
              <w:spacing w:before="40" w:after="40"/>
            </w:pPr>
            <w:r>
              <w:rPr>
                <w:b/>
                <w:sz w:val="24"/>
              </w:rPr>
              <w:t>Средняя доля построенных пар</w:t>
            </w:r>
          </w:p>
        </w:tc>
        <w:tc>
          <w:tcPr>
            <w:tcW w:w="1805" w:type="dxa"/>
            <w:vAlign w:val="center"/>
            <w:shd w:val="clear" w:color="auto" w:fill="F2F2F2"/>
          </w:tcPr>
          <w:p>
            <w:pPr>
              <w:spacing w:before="40" w:after="40"/>
            </w:pPr>
            <w:r>
              <w:rPr>
                <w:b/>
                <w:sz w:val="24"/>
              </w:rPr>
              <w:t>Средний разрыв качества (best − worst)</w:t>
            </w:r>
          </w:p>
        </w:tc>
        <w:tc>
          <w:tcPr>
            <w:tcW w:w="1805" w:type="dxa"/>
            <w:vAlign w:val="center"/>
            <w:shd w:val="clear" w:color="auto" w:fill="F2F2F2"/>
          </w:tcPr>
          <w:p>
            <w:pPr>
              <w:spacing w:before="40" w:after="40"/>
            </w:pPr>
            <w:r>
              <w:rPr>
                <w:b/>
                <w:sz w:val="24"/>
              </w:rPr>
              <w:t>Точность лучшего ответа</w:t>
            </w:r>
          </w:p>
        </w:tc>
        <w:tc>
          <w:tcPr>
            <w:tcW w:w="1805" w:type="dxa"/>
            <w:vAlign w:val="center"/>
            <w:shd w:val="clear" w:color="auto" w:fill="F2F2F2"/>
          </w:tcPr>
          <w:p>
            <w:pPr>
              <w:spacing w:before="40" w:after="40"/>
            </w:pPr>
            <w:r>
              <w:rPr>
                <w:b/>
                <w:sz w:val="24"/>
              </w:rPr>
              <w:t>Доля скрытых ошибок в лучшем ответе</w:t>
            </w:r>
          </w:p>
        </w:tc>
      </w:tr>
      <w:tr>
        <w:tc>
          <w:tcPr>
            <w:tcW w:w="1805" w:type="dxa"/>
            <w:vAlign w:val="center"/>
          </w:tcPr>
          <w:p>
            <w:pPr>
              <w:spacing w:before="40" w:after="40"/>
            </w:pPr>
            <w:r>
              <w:rPr>
                <w:sz w:val="24"/>
              </w:rPr>
              <w:t>k=3</w:t>
            </w:r>
          </w:p>
        </w:tc>
        <w:tc>
          <w:tcPr>
            <w:tcW w:w="1805" w:type="dxa"/>
            <w:vAlign w:val="center"/>
          </w:tcPr>
          <w:p>
            <w:pPr>
              <w:spacing w:before="40" w:after="40"/>
            </w:pPr>
            <w:r>
              <w:rPr>
                <w:sz w:val="24"/>
              </w:rPr>
              <w:t>0.5111</w:t>
            </w:r>
          </w:p>
        </w:tc>
        <w:tc>
          <w:tcPr>
            <w:tcW w:w="1805" w:type="dxa"/>
            <w:vAlign w:val="center"/>
          </w:tcPr>
          <w:p>
            <w:pPr>
              <w:spacing w:before="40" w:after="40"/>
            </w:pPr>
            <w:r>
              <w:rPr>
                <w:sz w:val="24"/>
              </w:rPr>
              <w:t>5.3968</w:t>
            </w:r>
          </w:p>
        </w:tc>
        <w:tc>
          <w:tcPr>
            <w:tcW w:w="1805" w:type="dxa"/>
            <w:vAlign w:val="center"/>
          </w:tcPr>
          <w:p>
            <w:pPr>
              <w:spacing w:before="40" w:after="40"/>
            </w:pPr>
            <w:r>
              <w:rPr>
                <w:sz w:val="24"/>
              </w:rPr>
              <w:t>1.0000</w:t>
            </w:r>
          </w:p>
        </w:tc>
        <w:tc>
          <w:tcPr>
            <w:tcW w:w="1805" w:type="dxa"/>
            <w:vAlign w:val="center"/>
          </w:tcPr>
          <w:p>
            <w:pPr>
              <w:spacing w:before="40" w:after="40"/>
            </w:pPr>
            <w:r>
              <w:rPr>
                <w:sz w:val="24"/>
              </w:rPr>
              <w:t>0.0000</w:t>
            </w:r>
          </w:p>
        </w:tc>
      </w:tr>
      <w:tr>
        <w:tc>
          <w:tcPr>
            <w:tcW w:w="1805" w:type="dxa"/>
            <w:vAlign w:val="center"/>
          </w:tcPr>
          <w:p>
            <w:pPr>
              <w:spacing w:before="40" w:after="40"/>
            </w:pPr>
            <w:r>
              <w:rPr>
                <w:sz w:val="24"/>
              </w:rPr>
              <w:t>k=5</w:t>
            </w:r>
          </w:p>
        </w:tc>
        <w:tc>
          <w:tcPr>
            <w:tcW w:w="1805" w:type="dxa"/>
            <w:vAlign w:val="center"/>
          </w:tcPr>
          <w:p>
            <w:pPr>
              <w:spacing w:before="40" w:after="40"/>
            </w:pPr>
            <w:r>
              <w:rPr>
                <w:sz w:val="24"/>
              </w:rPr>
              <w:t>0.5889</w:t>
            </w:r>
          </w:p>
        </w:tc>
        <w:tc>
          <w:tcPr>
            <w:tcW w:w="1805" w:type="dxa"/>
            <w:vAlign w:val="center"/>
          </w:tcPr>
          <w:p>
            <w:pPr>
              <w:spacing w:before="40" w:after="40"/>
            </w:pPr>
            <w:r>
              <w:rPr>
                <w:sz w:val="24"/>
              </w:rPr>
              <w:t>5.8029</w:t>
            </w:r>
          </w:p>
        </w:tc>
        <w:tc>
          <w:tcPr>
            <w:tcW w:w="1805" w:type="dxa"/>
            <w:vAlign w:val="center"/>
          </w:tcPr>
          <w:p>
            <w:pPr>
              <w:spacing w:before="40" w:after="40"/>
            </w:pPr>
            <w:r>
              <w:rPr>
                <w:sz w:val="24"/>
              </w:rPr>
              <w:t>1.0000</w:t>
            </w:r>
          </w:p>
        </w:tc>
        <w:tc>
          <w:tcPr>
            <w:tcW w:w="1805" w:type="dxa"/>
            <w:vAlign w:val="center"/>
          </w:tcPr>
          <w:p>
            <w:pPr>
              <w:spacing w:before="40" w:after="40"/>
            </w:pPr>
            <w:r>
              <w:rPr>
                <w:sz w:val="24"/>
              </w:rPr>
              <w:t>0.0000</w:t>
            </w:r>
          </w:p>
        </w:tc>
      </w:tr>
    </w:tbl>
    <w:p/>
    <w:p/>
    <w:p>
      <w:pPr>
        <w:spacing w:after="80"/>
      </w:pPr>
      <w:r>
        <w:rPr>
          <w:sz w:val="24"/>
        </w:rPr>
        <w:t>Пояснение. Пара строится на одной и той же задаче как «лучшее объяснение модели» против «худшего объяснения модели».</w:t>
      </w:r>
    </w:p>
    <w:p/>
    <w:p>
      <w:pPr>
        <w:spacing w:after="80"/>
      </w:pPr>
      <w:r>
        <w:rPr>
          <w:sz w:val="24"/>
        </w:rPr>
        <w:t>Сокращения: best/worst — лучший/худший кандидат по критериям качества.</w:t>
      </w:r>
    </w:p>
    <w:p/>
    <w:p>
      <w:pPr>
        <w:spacing w:after="80"/>
      </w:pPr>
      <w:r>
        <w:rPr>
          <w:sz w:val="24"/>
        </w:rPr>
        <w:t>Интерпретация. CSR подтверждает наличие выраженного контрастного педагогического сигнала внутри ответов одной модели. При этом CSR не показал устойчивого превосходства как итоговая ветвь по агрегированным показателям Gen2 и потому рассматривается как диагностический, а не основной метод.</w:t>
      </w:r>
    </w:p>
    <w:p/>
    <w:p>
      <w:pPr>
        <w:spacing w:before="220" w:after="120"/>
      </w:pPr>
      <w:r>
        <w:rPr>
          <w:b/>
          <w:sz w:val="30"/>
        </w:rPr>
        <w:t>9. Проверка надежности и воспроизводимости</w:t>
      </w:r>
    </w:p>
    <w:p>
      <w:pPr>
        <w:spacing w:before="180" w:after="100"/>
      </w:pPr>
      <w:r>
        <w:rPr>
          <w:b/>
          <w:sz w:val="27"/>
        </w:rPr>
        <w:t>9.1. Дополнительная парная проверка Qwen3-235B</w:t>
      </w:r>
    </w:p>
    <w:p>
      <w:pPr>
        <w:spacing w:after="80"/>
      </w:pPr>
      <w:r>
        <w:rPr>
          <w:sz w:val="24"/>
        </w:rPr>
        <w:t>В дополнительной парной проверке было выбрано 48 пар, успешно оценено 39. Доли исходов: DBR — 0.3333, обычное рециклирование — 0.2051, ничья — 0.4615; перевес DBR составил +0.1282. Результат частично поддерживает направление эффекта DBR, но высокая доля ничьих ограничивает силу вывода.</w:t>
      </w:r>
    </w:p>
    <w:p/>
    <w:p>
      <w:pPr>
        <w:spacing w:before="180" w:after="100"/>
      </w:pPr>
      <w:r>
        <w:rPr>
          <w:b/>
          <w:sz w:val="27"/>
        </w:rPr>
        <w:t>9.2. Ручной качественный просмотр</w:t>
      </w:r>
    </w:p>
    <w:p>
      <w:pPr>
        <w:spacing w:after="80"/>
      </w:pPr>
      <w:r>
        <w:rPr>
          <w:sz w:val="24"/>
        </w:rPr>
        <w:t>Ручной просмотр 35 пар использовался как качественная проверка содержательной приемлемости автоматических предпочтений. Формализованные экспертные метки не были сохранены, поэтому этот этап не трактуется как полноценная экспертная разметка.</w:t>
      </w:r>
    </w:p>
    <w:p/>
    <w:p>
      <w:pPr>
        <w:spacing w:before="180" w:after="100"/>
      </w:pPr>
      <w:r>
        <w:rPr>
          <w:b/>
          <w:sz w:val="27"/>
        </w:rPr>
        <w:t>9.3. Пересчет и аудит</w:t>
      </w:r>
    </w:p>
    <w:p>
      <w:pPr>
        <w:spacing w:after="80"/>
      </w:pPr>
      <w:r>
        <w:rPr>
          <w:sz w:val="24"/>
        </w:rPr>
        <w:t>Для ключевых выводов использовались пересчитанные из построчных данных таблицы. Несовпадения в ранних сводных таблицах были выявлены и исключены из численных утверждений, несущих основную научную нагрузку.</w:t>
      </w:r>
    </w:p>
    <w:p/>
    <w:p>
      <w:pPr>
        <w:spacing w:before="220" w:after="120"/>
      </w:pPr>
      <w:r>
        <w:rPr>
          <w:b/>
          <w:sz w:val="30"/>
        </w:rPr>
        <w:t>10. Обсуждение</w:t>
      </w:r>
    </w:p>
    <w:p>
      <w:pPr>
        <w:spacing w:after="80"/>
      </w:pPr>
      <w:r>
        <w:rPr>
          <w:sz w:val="24"/>
        </w:rPr>
        <w:t>Полученные результаты показывают, что качество синтетических образовательных объяснений нельзя сводить к точности финального ответа. Даже при сопоставимой точности объяснения могут существенно различаться по педагогической состоятельности, структуре и риску скрытых ошибок.</w:t>
      </w:r>
    </w:p>
    <w:p/>
    <w:p>
      <w:pPr>
        <w:spacing w:after="80"/>
      </w:pPr>
      <w:r>
        <w:rPr>
          <w:sz w:val="24"/>
        </w:rPr>
        <w:t>DBR полезен прежде всего как прозрачный механизм контроля качества данных: метод сохраняет высокий охват, устраняет ошибки разбора и снижает часть дефектов в пуле отобранных примеров. Это практически значимый результат для сценариев, где сильная фильтрация приводит к потере покрытия.</w:t>
      </w:r>
    </w:p>
    <w:p/>
    <w:p>
      <w:pPr>
        <w:spacing w:after="80"/>
      </w:pPr>
      <w:r>
        <w:rPr>
          <w:sz w:val="24"/>
        </w:rPr>
        <w:t>Одновременно данные не поддерживают чрезмерно сильный тезис об универсальном улучшении всех итоговых метрик. В одной подтверждающей серии эффект выражен заметнее, в чистой серии — существенно сдержаннее. Следовательно, DBR следует рассматривать как метод снижения дефектного риска, а не как окончательное решение задачи дидактического коллапса.</w:t>
      </w:r>
    </w:p>
    <w:p/>
    <w:p>
      <w:pPr>
        <w:spacing w:after="80"/>
      </w:pPr>
      <w:r>
        <w:rPr>
          <w:sz w:val="24"/>
        </w:rPr>
        <w:t>CSR в данном исследовании играет другую роль: он показывает, что для одной и той же задачи модель часто порождает сильно контрастные по качеству объяснения. Это поддерживает гипотезу о критической роли процедуры отбора при рециклировании синтетических данных.</w:t>
      </w:r>
    </w:p>
    <w:p/>
    <w:p>
      <w:pPr>
        <w:spacing w:before="220" w:after="120"/>
      </w:pPr>
      <w:r>
        <w:rPr>
          <w:b/>
          <w:sz w:val="30"/>
        </w:rPr>
        <w:t>11. Ограничения</w:t>
      </w:r>
    </w:p>
    <w:p>
      <w:pPr>
        <w:spacing w:after="80"/>
      </w:pPr>
      <w:r>
        <w:rPr>
          <w:sz w:val="24"/>
        </w:rPr>
        <w:t>1. Постановка ограничена режимом рециклирования без дообучения; выводы не переносятся напрямую на полное градиентное дообучение.</w:t>
      </w:r>
    </w:p>
    <w:p>
      <w:pPr>
        <w:spacing w:after="80"/>
      </w:pPr>
      <w:r>
        <w:rPr>
          <w:sz w:val="24"/>
        </w:rPr>
        <w:t>2. Основная оценка опирается на автоматическую модель-судью, что требует проверок чувствительности.</w:t>
      </w:r>
    </w:p>
    <w:p>
      <w:pPr>
        <w:spacing w:after="80"/>
      </w:pPr>
      <w:r>
        <w:rPr>
          <w:sz w:val="24"/>
        </w:rPr>
        <w:t>3. Размер выборок и число запусков ограничены; по ряду метрик доверительные интервалы широкие.</w:t>
      </w:r>
    </w:p>
    <w:p>
      <w:pPr>
        <w:spacing w:after="80"/>
      </w:pPr>
      <w:r>
        <w:rPr>
          <w:sz w:val="24"/>
        </w:rPr>
        <w:t>4. Эффекты DBR чувствительны к запуску.</w:t>
      </w:r>
    </w:p>
    <w:p>
      <w:pPr>
        <w:spacing w:after="80"/>
      </w:pPr>
      <w:r>
        <w:rPr>
          <w:sz w:val="24"/>
        </w:rPr>
        <w:t>5. Ручная проверка носит качественный характер и не заменяет формальную экспертную разметку.</w:t>
      </w:r>
    </w:p>
    <w:p>
      <w:pPr>
        <w:spacing w:after="80"/>
      </w:pPr>
      <w:r>
        <w:rPr>
          <w:sz w:val="24"/>
        </w:rPr>
        <w:t>6. Испытуемая модель мала (qwen2.5:0.5b); на более мощных моделях поведение может отличаться.</w:t>
      </w:r>
    </w:p>
    <w:p/>
    <w:p>
      <w:pPr>
        <w:spacing w:before="220" w:after="120"/>
      </w:pPr>
      <w:r>
        <w:rPr>
          <w:b/>
          <w:sz w:val="30"/>
        </w:rPr>
        <w:t>12. Заключение</w:t>
      </w:r>
    </w:p>
    <w:p>
      <w:pPr>
        <w:spacing w:after="80"/>
      </w:pPr>
      <w:r>
        <w:rPr>
          <w:sz w:val="24"/>
        </w:rPr>
        <w:t>В работе предложена и проверена рамка, в которой дидактический коллапс понимается как риск распространения педагогических дефектов при повторном использовании синтетических образовательных объяснений. Показано, что этот риск измерим отдельными метриками и не сводится к точности ответа.</w:t>
      </w:r>
    </w:p>
    <w:p/>
    <w:p>
      <w:pPr>
        <w:spacing w:after="80"/>
      </w:pPr>
      <w:r>
        <w:rPr>
          <w:sz w:val="24"/>
        </w:rPr>
        <w:t>Дефектно-бюджетное рециклирование (DBR) продемонстрировало устойчивые механистические преимущества: сохранение покрытия на уровне 96–98% и подавление ошибок разбора до нуля. Итоговые эффекты по педагогической оценке и скрытым ошибкам оказались смешанными и зависящими от серии запусков.</w:t>
      </w:r>
    </w:p>
    <w:p/>
    <w:p>
      <w:pPr>
        <w:spacing w:after="80"/>
      </w:pPr>
      <w:r>
        <w:rPr>
          <w:sz w:val="24"/>
        </w:rPr>
        <w:t>Контрастивное саморециклирование (CSR) подтвердило наличие сильного внутреннего контраста качества объяснений на одних и тех же задачах, что поддерживает важность контролируемого отбора синтетических примеров.</w:t>
      </w:r>
    </w:p>
    <w:p/>
    <w:p>
      <w:pPr>
        <w:spacing w:after="80"/>
      </w:pPr>
      <w:r>
        <w:rPr>
          <w:sz w:val="24"/>
        </w:rPr>
        <w:t>Таким образом, DBR в данной экспериментальной серии является наиболее сильным простым методом контроля дефектов среди проверенных подходов, но не окончательным решением проблемы.</w:t>
      </w:r>
    </w:p>
    <w:p/>
    <w:p>
      <w:pPr>
        <w:spacing w:before="220" w:after="120"/>
      </w:pPr>
      <w:r>
        <w:rPr>
          <w:b/>
          <w:sz w:val="30"/>
        </w:rPr>
        <w:t>13. Этические замечания</w:t>
      </w:r>
    </w:p>
    <w:p>
      <w:pPr>
        <w:spacing w:after="80"/>
      </w:pPr>
      <w:r>
        <w:rPr>
          <w:sz w:val="24"/>
        </w:rPr>
        <w:t>Скрытые педагогические ошибки в автоматически сгенерированных объяснениях могут наносить вред учащимся, формируя ложные схемы рассуждения. Автоматическая оценка не заменяет профессиональную педагогическую экспертизу. Представленные методы следует рассматривать как инструменты предварительного контроля качества, а не как единственный критерий пригодности учебных материалов.</w:t>
      </w:r>
    </w:p>
    <w:p/>
    <w:p>
      <w:pPr>
        <w:spacing w:before="220" w:after="120"/>
      </w:pPr>
      <w:r>
        <w:rPr>
          <w:b/>
          <w:sz w:val="30"/>
        </w:rPr>
        <w:t>14. Доступность данных и кода</w:t>
      </w:r>
    </w:p>
    <w:p>
      <w:pPr>
        <w:spacing w:after="80"/>
      </w:pPr>
      <w:r>
        <w:rPr>
          <w:sz w:val="24"/>
        </w:rPr>
        <w:t>Код: [ссылка на репозиторий будет добавлена перед подачей].</w:t>
      </w:r>
    </w:p>
    <w:p>
      <w:pPr>
        <w:spacing w:after="80"/>
      </w:pPr>
      <w:r>
        <w:rPr>
          <w:sz w:val="24"/>
        </w:rPr>
        <w:t>Данные и агрегированные таблицы: [ссылка/архив будет добавлен перед подачей].</w:t>
      </w:r>
    </w:p>
    <w:p>
      <w:pPr>
        <w:spacing w:after="80"/>
      </w:pPr>
      <w:r>
        <w:rPr>
          <w:sz w:val="24"/>
        </w:rPr>
        <w:t>Анонимизированные сводные таблицы и материалы воспроизводимости могут быть предоставлены по запросу.</w:t>
      </w:r>
    </w:p>
    <w:p/>
    <w:p>
      <w:pPr>
        <w:spacing w:before="220" w:after="120"/>
      </w:pPr>
      <w:r>
        <w:rPr>
          <w:b/>
          <w:sz w:val="30"/>
        </w:rPr>
        <w:t>15. Конфликт интересов, финансирование, благодарности</w:t>
      </w:r>
    </w:p>
    <w:p>
      <w:pPr>
        <w:spacing w:after="80"/>
      </w:pPr>
      <w:r>
        <w:rPr>
          <w:sz w:val="24"/>
        </w:rPr>
        <w:t>Конфликт интересов. Автор заявляет об отсутствии конфликта интересов.</w:t>
      </w:r>
    </w:p>
    <w:p>
      <w:pPr>
        <w:spacing w:after="80"/>
      </w:pPr>
      <w:r>
        <w:rPr>
          <w:sz w:val="24"/>
        </w:rPr>
        <w:t>Финансирование. Исследование выполнено без внешнего финансирования.</w:t>
      </w:r>
    </w:p>
    <w:p>
      <w:pPr>
        <w:spacing w:after="80"/>
      </w:pPr>
      <w:r>
        <w:rPr>
          <w:sz w:val="24"/>
        </w:rPr>
        <w:t>Благодарности. Автор благодарит научного руководителя за обсуждение постановки задачи и критериев интерпретации результатов.</w:t>
      </w:r>
    </w:p>
    <w:p/>
    <w:p>
      <w:pPr>
        <w:spacing w:before="220" w:after="120"/>
      </w:pPr>
      <w:r>
        <w:rPr>
          <w:b/>
          <w:sz w:val="30"/>
        </w:rPr>
        <w:t>16. Таблица статуса основных утверждений</w:t>
      </w:r>
    </w:p>
    <w:p>
      <w:pPr>
        <w:spacing w:before="180" w:after="100"/>
      </w:pPr>
      <w:r>
        <w:rPr>
          <w:b/>
          <w:sz w:val="27"/>
        </w:rPr>
        <w:t>Таблица 6. Статус основных утверждений</w:t>
      </w:r>
    </w:p>
    <w:tbl>
      <w:tblPr>
        <w:tblStyle w:val="TableGrid"/>
        <w:tblW w:w="9026" w:type="dxa"/>
        <w:tblBorders>
          <w:top w:val="single" w:sz="8" w:space="0" w:color="808080"/>
          <w:left w:val="single" w:sz="8" w:space="0" w:color="808080"/>
          <w:bottom w:val="single" w:sz="8" w:space="0" w:color="808080"/>
          <w:right w:val="single" w:sz="8" w:space="0" w:color="808080"/>
          <w:insideH w:val="single" w:sz="6" w:space="0" w:color="B0B0B0"/>
          <w:insideV w:val="single" w:sz="6" w:space="0" w:color="B0B0B0"/>
        </w:tblBorders>
        <w:tblCellMar>
          <w:top w:w="80" w:type="dxa"/>
          <w:left w:w="120" w:type="dxa"/>
          <w:bottom w:w="80" w:type="dxa"/>
          <w:right w:w="120" w:type="dxa"/>
        </w:tblCellMar>
      </w:tblPr>
      <w:tblGrid>
        <w:gridCol w:w="3008"/>
        <w:gridCol w:w="3008"/>
        <w:gridCol w:w="3008"/>
      </w:tblGrid>
      <w:tr>
        <w:tc>
          <w:tcPr>
            <w:tcW w:w="3008" w:type="dxa"/>
            <w:vAlign w:val="center"/>
            <w:shd w:val="clear" w:color="auto" w:fill="F2F2F2"/>
          </w:tcPr>
          <w:p>
            <w:pPr>
              <w:spacing w:before="40" w:after="40"/>
            </w:pPr>
            <w:r>
              <w:rPr>
                <w:b/>
                <w:sz w:val="24"/>
              </w:rPr>
              <w:t>Утверждение</w:t>
            </w:r>
          </w:p>
        </w:tc>
        <w:tc>
          <w:tcPr>
            <w:tcW w:w="3008" w:type="dxa"/>
            <w:vAlign w:val="center"/>
            <w:shd w:val="clear" w:color="auto" w:fill="F2F2F2"/>
          </w:tcPr>
          <w:p>
            <w:pPr>
              <w:spacing w:before="40" w:after="40"/>
            </w:pPr>
            <w:r>
              <w:rPr>
                <w:b/>
                <w:sz w:val="24"/>
              </w:rPr>
              <w:t>Статус</w:t>
            </w:r>
          </w:p>
        </w:tc>
        <w:tc>
          <w:tcPr>
            <w:tcW w:w="3008" w:type="dxa"/>
            <w:vAlign w:val="center"/>
            <w:shd w:val="clear" w:color="auto" w:fill="F2F2F2"/>
          </w:tcPr>
          <w:p>
            <w:pPr>
              <w:spacing w:before="40" w:after="40"/>
            </w:pPr>
            <w:r>
              <w:rPr>
                <w:b/>
                <w:sz w:val="24"/>
              </w:rPr>
              <w:t>Основание</w:t>
            </w:r>
          </w:p>
        </w:tc>
      </w:tr>
      <w:tr>
        <w:tc>
          <w:tcPr>
            <w:tcW w:w="3008" w:type="dxa"/>
            <w:vAlign w:val="center"/>
          </w:tcPr>
          <w:p>
            <w:pPr>
              <w:spacing w:before="40" w:after="40"/>
            </w:pPr>
            <w:r>
              <w:rPr>
                <w:sz w:val="24"/>
              </w:rPr>
              <w:t>Дидактический коллапс измерим отдельно от точности</w:t>
            </w:r>
          </w:p>
        </w:tc>
        <w:tc>
          <w:tcPr>
            <w:tcW w:w="3008" w:type="dxa"/>
            <w:vAlign w:val="center"/>
          </w:tcPr>
          <w:p>
            <w:pPr>
              <w:spacing w:before="40" w:after="40"/>
            </w:pPr>
            <w:r>
              <w:rPr>
                <w:sz w:val="24"/>
              </w:rPr>
              <w:t>Поддержано</w:t>
            </w:r>
          </w:p>
        </w:tc>
        <w:tc>
          <w:tcPr>
            <w:tcW w:w="3008" w:type="dxa"/>
            <w:vAlign w:val="center"/>
          </w:tcPr>
          <w:p>
            <w:pPr>
              <w:spacing w:before="40" w:after="40"/>
            </w:pPr>
            <w:r>
              <w:rPr>
                <w:sz w:val="24"/>
              </w:rPr>
              <w:t>Наблюдается расхождение динамики точности, педагогической оценки и дефектных метрик</w:t>
            </w:r>
          </w:p>
        </w:tc>
      </w:tr>
      <w:tr>
        <w:tc>
          <w:tcPr>
            <w:tcW w:w="3008" w:type="dxa"/>
            <w:vAlign w:val="center"/>
          </w:tcPr>
          <w:p>
            <w:pPr>
              <w:spacing w:before="40" w:after="40"/>
            </w:pPr>
            <w:r>
              <w:rPr>
                <w:sz w:val="24"/>
              </w:rPr>
              <w:t>Обычное рециклирование всегда монотонно ухудшается</w:t>
            </w:r>
          </w:p>
        </w:tc>
        <w:tc>
          <w:tcPr>
            <w:tcW w:w="3008" w:type="dxa"/>
            <w:vAlign w:val="center"/>
          </w:tcPr>
          <w:p>
            <w:pPr>
              <w:spacing w:before="40" w:after="40"/>
            </w:pPr>
            <w:r>
              <w:rPr>
                <w:sz w:val="24"/>
              </w:rPr>
              <w:t>Не поддержано</w:t>
            </w:r>
          </w:p>
        </w:tc>
        <w:tc>
          <w:tcPr>
            <w:tcW w:w="3008" w:type="dxa"/>
            <w:vAlign w:val="center"/>
          </w:tcPr>
          <w:p>
            <w:pPr>
              <w:spacing w:before="40" w:after="40"/>
            </w:pPr>
            <w:r>
              <w:rPr>
                <w:sz w:val="24"/>
              </w:rPr>
              <w:t>В ряде серий нет устойчивого монотонного спада всех метрик</w:t>
            </w:r>
          </w:p>
        </w:tc>
      </w:tr>
      <w:tr>
        <w:tc>
          <w:tcPr>
            <w:tcW w:w="3008" w:type="dxa"/>
            <w:vAlign w:val="center"/>
          </w:tcPr>
          <w:p>
            <w:pPr>
              <w:spacing w:before="40" w:after="40"/>
            </w:pPr>
            <w:r>
              <w:rPr>
                <w:sz w:val="24"/>
              </w:rPr>
              <w:t>Обычное рециклирование несет риск распространения дефектов</w:t>
            </w:r>
          </w:p>
        </w:tc>
        <w:tc>
          <w:tcPr>
            <w:tcW w:w="3008" w:type="dxa"/>
            <w:vAlign w:val="center"/>
          </w:tcPr>
          <w:p>
            <w:pPr>
              <w:spacing w:before="40" w:after="40"/>
            </w:pPr>
            <w:r>
              <w:rPr>
                <w:sz w:val="24"/>
              </w:rPr>
              <w:t>Поддержано</w:t>
            </w:r>
          </w:p>
        </w:tc>
        <w:tc>
          <w:tcPr>
            <w:tcW w:w="3008" w:type="dxa"/>
            <w:vAlign w:val="center"/>
          </w:tcPr>
          <w:p>
            <w:pPr>
              <w:spacing w:before="40" w:after="40"/>
            </w:pPr>
            <w:r>
              <w:rPr>
                <w:sz w:val="24"/>
              </w:rPr>
              <w:t>Дефектная нагрузка сохраняется межпоколенчески</w:t>
            </w:r>
          </w:p>
        </w:tc>
      </w:tr>
      <w:tr>
        <w:tc>
          <w:tcPr>
            <w:tcW w:w="3008" w:type="dxa"/>
            <w:vAlign w:val="center"/>
          </w:tcPr>
          <w:p>
            <w:pPr>
              <w:spacing w:before="40" w:after="40"/>
            </w:pPr>
            <w:r>
              <w:rPr>
                <w:sz w:val="24"/>
              </w:rPr>
              <w:t>DBR сохраняет покрытие</w:t>
            </w:r>
          </w:p>
        </w:tc>
        <w:tc>
          <w:tcPr>
            <w:tcW w:w="3008" w:type="dxa"/>
            <w:vAlign w:val="center"/>
          </w:tcPr>
          <w:p>
            <w:pPr>
              <w:spacing w:before="40" w:after="40"/>
            </w:pPr>
            <w:r>
              <w:rPr>
                <w:sz w:val="24"/>
              </w:rPr>
              <w:t>Поддержано</w:t>
            </w:r>
          </w:p>
        </w:tc>
        <w:tc>
          <w:tcPr>
            <w:tcW w:w="3008" w:type="dxa"/>
            <w:vAlign w:val="center"/>
          </w:tcPr>
          <w:p>
            <w:pPr>
              <w:spacing w:before="40" w:after="40"/>
            </w:pPr>
            <w:r>
              <w:rPr>
                <w:sz w:val="24"/>
              </w:rPr>
              <w:t>Среднее покрытие около 0.9756 и 0.9656</w:t>
            </w:r>
          </w:p>
        </w:tc>
      </w:tr>
      <w:tr>
        <w:tc>
          <w:tcPr>
            <w:tcW w:w="3008" w:type="dxa"/>
            <w:vAlign w:val="center"/>
          </w:tcPr>
          <w:p>
            <w:pPr>
              <w:spacing w:before="40" w:after="40"/>
            </w:pPr>
            <w:r>
              <w:rPr>
                <w:sz w:val="24"/>
              </w:rPr>
              <w:t>DBR устраняет ошибки разбора</w:t>
            </w:r>
          </w:p>
        </w:tc>
        <w:tc>
          <w:tcPr>
            <w:tcW w:w="3008" w:type="dxa"/>
            <w:vAlign w:val="center"/>
          </w:tcPr>
          <w:p>
            <w:pPr>
              <w:spacing w:before="40" w:after="40"/>
            </w:pPr>
            <w:r>
              <w:rPr>
                <w:sz w:val="24"/>
              </w:rPr>
              <w:t>Поддержано</w:t>
            </w:r>
          </w:p>
        </w:tc>
        <w:tc>
          <w:tcPr>
            <w:tcW w:w="3008" w:type="dxa"/>
            <w:vAlign w:val="center"/>
          </w:tcPr>
          <w:p>
            <w:pPr>
              <w:spacing w:before="40" w:after="40"/>
            </w:pPr>
            <w:r>
              <w:rPr>
                <w:sz w:val="24"/>
              </w:rPr>
              <w:t>После DBR средняя доля ошибок разбора 0.0000</w:t>
            </w:r>
          </w:p>
        </w:tc>
      </w:tr>
      <w:tr>
        <w:tc>
          <w:tcPr>
            <w:tcW w:w="3008" w:type="dxa"/>
            <w:vAlign w:val="center"/>
          </w:tcPr>
          <w:p>
            <w:pPr>
              <w:spacing w:before="40" w:after="40"/>
            </w:pPr>
            <w:r>
              <w:rPr>
                <w:sz w:val="24"/>
              </w:rPr>
              <w:t>DBR устойчиво улучшает точность</w:t>
            </w:r>
          </w:p>
        </w:tc>
        <w:tc>
          <w:tcPr>
            <w:tcW w:w="3008" w:type="dxa"/>
            <w:vAlign w:val="center"/>
          </w:tcPr>
          <w:p>
            <w:pPr>
              <w:spacing w:before="40" w:after="40"/>
            </w:pPr>
            <w:r>
              <w:rPr>
                <w:sz w:val="24"/>
              </w:rPr>
              <w:t>Смешанный результат</w:t>
            </w:r>
          </w:p>
        </w:tc>
        <w:tc>
          <w:tcPr>
            <w:tcW w:w="3008" w:type="dxa"/>
            <w:vAlign w:val="center"/>
          </w:tcPr>
          <w:p>
            <w:pPr>
              <w:spacing w:before="40" w:after="40"/>
            </w:pPr>
            <w:r>
              <w:rPr>
                <w:sz w:val="24"/>
              </w:rPr>
              <w:t>Средние дельты положительные, интервалы частично включают ноль</w:t>
            </w:r>
          </w:p>
        </w:tc>
      </w:tr>
      <w:tr>
        <w:tc>
          <w:tcPr>
            <w:tcW w:w="3008" w:type="dxa"/>
            <w:vAlign w:val="center"/>
          </w:tcPr>
          <w:p>
            <w:pPr>
              <w:spacing w:before="40" w:after="40"/>
            </w:pPr>
            <w:r>
              <w:rPr>
                <w:sz w:val="24"/>
              </w:rPr>
              <w:t>DBR устойчиво улучшает педагогическую оценку</w:t>
            </w:r>
          </w:p>
        </w:tc>
        <w:tc>
          <w:tcPr>
            <w:tcW w:w="3008" w:type="dxa"/>
            <w:vAlign w:val="center"/>
          </w:tcPr>
          <w:p>
            <w:pPr>
              <w:spacing w:before="40" w:after="40"/>
            </w:pPr>
            <w:r>
              <w:rPr>
                <w:sz w:val="24"/>
              </w:rPr>
              <w:t>Смешанный результат</w:t>
            </w:r>
          </w:p>
        </w:tc>
        <w:tc>
          <w:tcPr>
            <w:tcW w:w="3008" w:type="dxa"/>
            <w:vAlign w:val="center"/>
          </w:tcPr>
          <w:p>
            <w:pPr>
              <w:spacing w:before="40" w:after="40"/>
            </w:pPr>
            <w:r>
              <w:rPr>
                <w:sz w:val="24"/>
              </w:rPr>
              <w:t>Положительный сигнал в одной серии, сдержанный в чистой серии</w:t>
            </w:r>
          </w:p>
        </w:tc>
      </w:tr>
      <w:tr>
        <w:tc>
          <w:tcPr>
            <w:tcW w:w="3008" w:type="dxa"/>
            <w:vAlign w:val="center"/>
          </w:tcPr>
          <w:p>
            <w:pPr>
              <w:spacing w:before="40" w:after="40"/>
            </w:pPr>
            <w:r>
              <w:rPr>
                <w:sz w:val="24"/>
              </w:rPr>
              <w:t>DBR устойчиво снижает скрытые ошибки</w:t>
            </w:r>
          </w:p>
        </w:tc>
        <w:tc>
          <w:tcPr>
            <w:tcW w:w="3008" w:type="dxa"/>
            <w:vAlign w:val="center"/>
          </w:tcPr>
          <w:p>
            <w:pPr>
              <w:spacing w:before="40" w:after="40"/>
            </w:pPr>
            <w:r>
              <w:rPr>
                <w:sz w:val="24"/>
              </w:rPr>
              <w:t>Смешанный результат</w:t>
            </w:r>
          </w:p>
        </w:tc>
        <w:tc>
          <w:tcPr>
            <w:tcW w:w="3008" w:type="dxa"/>
            <w:vAlign w:val="center"/>
          </w:tcPr>
          <w:p>
            <w:pPr>
              <w:spacing w:before="40" w:after="40"/>
            </w:pPr>
            <w:r>
              <w:rPr>
                <w:sz w:val="24"/>
              </w:rPr>
              <w:t>Улучшение в серии 211–213, неоднозначность в серии 221–223</w:t>
            </w:r>
          </w:p>
        </w:tc>
      </w:tr>
      <w:tr>
        <w:tc>
          <w:tcPr>
            <w:tcW w:w="3008" w:type="dxa"/>
            <w:vAlign w:val="center"/>
          </w:tcPr>
          <w:p>
            <w:pPr>
              <w:spacing w:before="40" w:after="40"/>
            </w:pPr>
            <w:r>
              <w:rPr>
                <w:sz w:val="24"/>
              </w:rPr>
              <w:t>Дополнительная проверка Qwen поддерживает DBR</w:t>
            </w:r>
          </w:p>
        </w:tc>
        <w:tc>
          <w:tcPr>
            <w:tcW w:w="3008" w:type="dxa"/>
            <w:vAlign w:val="center"/>
          </w:tcPr>
          <w:p>
            <w:pPr>
              <w:spacing w:before="40" w:after="40"/>
            </w:pPr>
            <w:r>
              <w:rPr>
                <w:sz w:val="24"/>
              </w:rPr>
              <w:t>Частично поддержано</w:t>
            </w:r>
          </w:p>
        </w:tc>
        <w:tc>
          <w:tcPr>
            <w:tcW w:w="3008" w:type="dxa"/>
            <w:vAlign w:val="center"/>
          </w:tcPr>
          <w:p>
            <w:pPr>
              <w:spacing w:before="40" w:after="40"/>
            </w:pPr>
            <w:r>
              <w:rPr>
                <w:sz w:val="24"/>
              </w:rPr>
              <w:t>Положительный перевес при высокой доле ничьих</w:t>
            </w:r>
          </w:p>
        </w:tc>
      </w:tr>
      <w:tr>
        <w:tc>
          <w:tcPr>
            <w:tcW w:w="3008" w:type="dxa"/>
            <w:vAlign w:val="center"/>
          </w:tcPr>
          <w:p>
            <w:pPr>
              <w:spacing w:before="40" w:after="40"/>
            </w:pPr>
            <w:r>
              <w:rPr>
                <w:sz w:val="24"/>
              </w:rPr>
              <w:t>CSR показывает контрастный педагогический сигнал</w:t>
            </w:r>
          </w:p>
        </w:tc>
        <w:tc>
          <w:tcPr>
            <w:tcW w:w="3008" w:type="dxa"/>
            <w:vAlign w:val="center"/>
          </w:tcPr>
          <w:p>
            <w:pPr>
              <w:spacing w:before="40" w:after="40"/>
            </w:pPr>
            <w:r>
              <w:rPr>
                <w:sz w:val="24"/>
              </w:rPr>
              <w:t>Поддержано</w:t>
            </w:r>
          </w:p>
        </w:tc>
        <w:tc>
          <w:tcPr>
            <w:tcW w:w="3008" w:type="dxa"/>
            <w:vAlign w:val="center"/>
          </w:tcPr>
          <w:p>
            <w:pPr>
              <w:spacing w:before="40" w:after="40"/>
            </w:pPr>
            <w:r>
              <w:rPr>
                <w:sz w:val="24"/>
              </w:rPr>
              <w:t>Высокие pair construction rate и large quality gap</w:t>
            </w:r>
          </w:p>
        </w:tc>
      </w:tr>
      <w:tr>
        <w:tc>
          <w:tcPr>
            <w:tcW w:w="3008" w:type="dxa"/>
            <w:vAlign w:val="center"/>
          </w:tcPr>
          <w:p>
            <w:pPr>
              <w:spacing w:before="40" w:after="40"/>
            </w:pPr>
            <w:r>
              <w:rPr>
                <w:sz w:val="24"/>
              </w:rPr>
              <w:t>CSR является лучшей итоговой ветвью</w:t>
            </w:r>
          </w:p>
        </w:tc>
        <w:tc>
          <w:tcPr>
            <w:tcW w:w="3008" w:type="dxa"/>
            <w:vAlign w:val="center"/>
          </w:tcPr>
          <w:p>
            <w:pPr>
              <w:spacing w:before="40" w:after="40"/>
            </w:pPr>
            <w:r>
              <w:rPr>
                <w:sz w:val="24"/>
              </w:rPr>
              <w:t>Не поддержано</w:t>
            </w:r>
          </w:p>
        </w:tc>
        <w:tc>
          <w:tcPr>
            <w:tcW w:w="3008" w:type="dxa"/>
            <w:vAlign w:val="center"/>
          </w:tcPr>
          <w:p>
            <w:pPr>
              <w:spacing w:before="40" w:after="40"/>
            </w:pPr>
            <w:r>
              <w:rPr>
                <w:sz w:val="24"/>
              </w:rPr>
              <w:t>Превосходство по итоговым ветвевым метрикам не подтверждено</w:t>
            </w:r>
          </w:p>
        </w:tc>
      </w:tr>
    </w:tbl>
    <w:p/>
    <w:p/>
    <w:p>
      <w:pPr>
        <w:spacing w:after="80"/>
      </w:pPr>
      <w:r>
        <w:rPr>
          <w:sz w:val="24"/>
        </w:rPr>
        <w:t>Пояснение. Для метрик доли скрытых ошибок положительная дельта трактуется как ухудшение.</w:t>
      </w:r>
    </w:p>
    <w:p/>
    <w:p>
      <w:pPr>
        <w:spacing w:before="220" w:after="120"/>
      </w:pPr>
      <w:r>
        <w:rPr>
          <w:b/>
          <w:sz w:val="30"/>
        </w:rPr>
        <w:t>17. Приложения</w:t>
      </w:r>
    </w:p>
    <w:p>
      <w:pPr>
        <w:spacing w:after="80"/>
      </w:pPr>
      <w:r>
        <w:rPr>
          <w:sz w:val="24"/>
        </w:rPr>
        <w:t>Приложение A. Подробные экспериментальные таблицы.</w:t>
      </w:r>
    </w:p>
    <w:p>
      <w:pPr>
        <w:spacing w:after="80"/>
      </w:pPr>
      <w:r>
        <w:rPr>
          <w:sz w:val="24"/>
        </w:rPr>
        <w:t>Приложение B. Полная таблица статуса утверждений.</w:t>
      </w:r>
    </w:p>
    <w:p>
      <w:pPr>
        <w:spacing w:after="80"/>
      </w:pPr>
      <w:r>
        <w:rPr>
          <w:sz w:val="24"/>
        </w:rPr>
        <w:t>Приложение C. Воспроизводимость и аудит артефактов.</w:t>
      </w:r>
    </w:p>
    <w:p>
      <w:pPr>
        <w:spacing w:after="80"/>
      </w:pPr>
      <w:r>
        <w:rPr>
          <w:sz w:val="24"/>
        </w:rPr>
        <w:t>Приложение D. Шаблон ручной парной проверки.</w:t>
      </w:r>
    </w:p>
    <w:p/>
    <w:p>
      <w:pPr>
        <w:spacing w:before="220" w:after="120"/>
      </w:pPr>
      <w:r>
        <w:rPr>
          <w:b/>
          <w:sz w:val="30"/>
        </w:rPr>
        <w:t>18. Список сокращений</w:t>
      </w:r>
    </w:p>
    <w:p>
      <w:pPr>
        <w:ind w:left="720" w:hanging="360"/>
        <w:spacing w:after="70"/>
      </w:pPr>
      <w:r>
        <w:rPr>
          <w:sz w:val="24"/>
        </w:rPr>
        <w:t>• DBR — дефектно-бюджетное рециклирование.</w:t>
      </w:r>
    </w:p>
    <w:p>
      <w:pPr>
        <w:ind w:left="720" w:hanging="360"/>
        <w:spacing w:after="70"/>
      </w:pPr>
      <w:r>
        <w:rPr>
          <w:sz w:val="24"/>
        </w:rPr>
        <w:t>• CSR — контрастивное саморециклирование.</w:t>
      </w:r>
    </w:p>
    <w:p>
      <w:pPr>
        <w:ind w:left="720" w:hanging="360"/>
        <w:spacing w:after="70"/>
      </w:pPr>
      <w:r>
        <w:rPr>
          <w:sz w:val="24"/>
        </w:rPr>
        <w:t>• Gen0/Gen1/Gen2 — поколения рециклирования.</w:t>
      </w:r>
    </w:p>
    <w:p>
      <w:pPr>
        <w:ind w:left="720" w:hanging="360"/>
        <w:spacing w:after="70"/>
      </w:pPr>
      <w:r>
        <w:rPr>
          <w:sz w:val="24"/>
        </w:rPr>
        <w:t>• 95% ДИ — 95% доверительный интервал.</w:t>
      </w:r>
    </w:p>
    <w:p/>
    <w:p>
      <w:pPr>
        <w:spacing w:before="220" w:after="120"/>
      </w:pPr>
      <w:r>
        <w:rPr>
          <w:b/>
          <w:sz w:val="30"/>
        </w:rPr>
        <w:t>Литература</w:t>
      </w:r>
    </w:p>
    <w:p>
      <w:pPr>
        <w:spacing w:after="80"/>
      </w:pPr>
      <w:r>
        <w:rPr>
          <w:sz w:val="24"/>
        </w:rPr>
        <w:t>1. Shumailov I., Shumaylov Z., Zhao Y., Papernot N., Anderson R., Gal Y. AI models collapse when trained on recursively generated data // Nature. 2024. Vol. 631. P. 755–759. DOI: 10.1038/s41586-024-07566-y.</w:t>
      </w:r>
    </w:p>
    <w:p>
      <w:pPr>
        <w:spacing w:after="80"/>
      </w:pPr>
      <w:r>
        <w:rPr>
          <w:sz w:val="24"/>
        </w:rPr>
        <w:t>2. Shumailov I., Shumaylov Z., Zhao Y., Gal Y., Papernot N., Anderson R. The Curse of Recursion: Training on Generated Data Makes Models Forget // arXiv preprint. 2023. arXiv:2305.17493.</w:t>
      </w:r>
    </w:p>
    <w:p>
      <w:pPr>
        <w:spacing w:after="80"/>
      </w:pPr>
      <w:r>
        <w:rPr>
          <w:sz w:val="24"/>
        </w:rPr>
        <w:t>3. Alemohammad S., Casco-Rodriguez J., Luzi L., Humayun A.I., Babaei H., LeJeune D., Siahkoohi A., Baraniuk R. Self-Consuming Generative Models Go MAD // arXiv preprint. 2023. arXiv:2307.01850.</w:t>
      </w:r>
    </w:p>
    <w:p>
      <w:pPr>
        <w:spacing w:after="80"/>
      </w:pPr>
      <w:r>
        <w:rPr>
          <w:sz w:val="24"/>
        </w:rPr>
        <w:t>4. Zelikman E., Wu Y., Mu J., Goodman N. STaR: Bootstrapping Reasoning With Reasoning // arXiv preprint. 2022. arXiv:2203.14465.</w:t>
      </w:r>
    </w:p>
    <w:p>
      <w:pPr>
        <w:spacing w:after="80"/>
      </w:pPr>
      <w:r>
        <w:rPr>
          <w:sz w:val="24"/>
        </w:rPr>
        <w:t>5. Zheng L., Chiang W.-L., Sheng Y., Zhuang S., Wu Z., Zhuang Y., Lin Z., Li Z., Li D., Xing E.P., Zhang H., Gonzalez J.E., Stoica I. Judging LLM-as-a-Judge with MT-Bench and Chatbot Arena // arXiv preprint. 2023. arXiv:2306.05685.</w:t>
      </w:r>
    </w:p>
    <w:p>
      <w:pPr>
        <w:spacing w:after="80"/>
      </w:pPr>
      <w:r>
        <w:rPr>
          <w:sz w:val="24"/>
        </w:rPr>
        <w:t>6. Liu Y., Iter D., Xu Y., Wang S., Xu R., Zhu C. G-Eval: NLG Evaluation using GPT-4 with Better Human Alignment // arXiv preprint. 2023. arXiv:2303.16634.</w:t>
      </w:r>
    </w:p>
    <w:p>
      <w:pPr>
        <w:spacing w:after="80"/>
      </w:pPr>
      <w:r>
        <w:rPr>
          <w:sz w:val="24"/>
        </w:rPr>
        <w:t>7. Wang P., Li L., Chen L., Cai Z., Zhu D., Lin B., Cao Y., Liu Q., Liu T., Sui Z. Large Language Models are not Fair Evaluators // arXiv preprint. 2023. arXiv:2305.17926.</w:t>
      </w:r>
    </w:p>
    <w:p>
      <w:pPr>
        <w:spacing w:after="80"/>
      </w:pPr>
      <w:r>
        <w:rPr>
          <w:sz w:val="24"/>
        </w:rPr>
        <w:t>8. Papineni K., Roukos S., Ward T., Zhu W.-J. Bleu: a Method for Automatic Evaluation of Machine Translation // Proceedings of ACL 2002. 2002. P. 311–318. DOI: 10.3115/1073083.1073135.</w:t>
      </w:r>
    </w:p>
    <w:p>
      <w:pPr>
        <w:spacing w:after="80"/>
      </w:pPr>
      <w:r>
        <w:rPr>
          <w:sz w:val="24"/>
        </w:rPr>
        <w:t>9. Lin C.-Y. ROUGE: a Package for Automatic Evaluation of Summaries // Workshop on Text Summarization Branches Out (ACL Workshop). 2004.</w:t>
      </w:r>
    </w:p>
    <w:p>
      <w:pPr>
        <w:spacing w:after="80"/>
      </w:pPr>
      <w:r>
        <w:rPr>
          <w:sz w:val="24"/>
        </w:rPr>
        <w:t>10. Sellam T., Das D., Parikh A. BLEURT: Learning Robust Metrics for Text Generation // Proceedings of ACL 2020. 2020. P. 7881–7892. DOI: 10.18653/v1/2020.acl-main.704.</w:t>
      </w:r>
    </w:p>
    <w:p>
      <w:pPr>
        <w:spacing w:after="80"/>
      </w:pPr>
      <w:r>
        <w:rPr>
          <w:sz w:val="24"/>
        </w:rPr>
        <w:t>11. Zhang T., Kishore V., Wu F., Weinberger K., Artzi Y. BERTScore: Evaluating Text Generation with BERT // International Conference on Learning Representations (ICLR). 2020.</w:t>
      </w:r>
    </w:p>
    <w:p>
      <w:pPr>
        <w:spacing w:after="80"/>
      </w:pPr>
      <w:r>
        <w:rPr>
          <w:sz w:val="24"/>
        </w:rPr>
        <w:t>12. Bengio Y., Louradour J., Collobert R., Weston J. Curriculum Learning // Proceedings of ICML 2009. 2009. P. 41–48.</w:t>
      </w:r>
    </w:p>
    <w:p>
      <w:pPr>
        <w:spacing w:after="80"/>
      </w:pPr>
      <w:r>
        <w:rPr>
          <w:sz w:val="24"/>
        </w:rPr>
        <w:t>13. Xie Q., Luong M.-T., Hovy E., Le Q.V. Self-Training With Noisy Student Improves ImageNet Classification // Proceedings of CVPR 2020. 2020. P. 10687–10698.</w:t>
      </w:r>
    </w:p>
    <w:p>
      <w:pPr>
        <w:spacing w:after="80"/>
      </w:pPr>
      <w:r>
        <w:rPr>
          <w:sz w:val="24"/>
        </w:rPr>
        <w:t>14. Wei J., Wang X., Schuurmans D., Bosma M., Ichter B., Xia F., Chi E., Le Q., Zhou D. Chain-of-Thought Prompting Elicits Reasoning in Large Language Models // arXiv preprint. 2022. arXiv:2201.11903.</w:t>
      </w:r>
    </w:p>
    <w:p>
      <w:pPr>
        <w:spacing w:after="80"/>
      </w:pPr>
      <w:r>
        <w:rPr>
          <w:sz w:val="24"/>
        </w:rPr>
        <w:t>15. Wang X., Wei J., Schuurmans D., Le Q., Chi E., Narang S., Chowdhery A., Zhou D. Self-Consistency Improves Chain of Thought Reasoning in Language Models // arXiv preprint. 2022. arXiv:2203.11171.</w:t>
      </w:r>
    </w:p>
    <w:p>
      <w:pPr>
        <w:spacing w:after="80"/>
      </w:pPr>
      <w:r>
        <w:rPr>
          <w:sz w:val="24"/>
        </w:rPr>
        <w:t>16. Ouyang L., Wu J., Jiang X., Almeida D., Wainwright C., Mishkin P., Zhang C., Agarwal S., Slama K., Ray A., Schulman J., Hilton J., Kelton F., Miller L., Simens M., Askell A., Welinder P., Christiano P., Leike J., Lowe R. Training language models to follow instructions with human feedback // arXiv preprint. 2022. arXiv:2203.02155.</w:t>
      </w:r>
    </w:p>
    <w:p>
      <w:pPr>
        <w:spacing w:after="80"/>
      </w:pPr>
      <w:r>
        <w:rPr>
          <w:sz w:val="24"/>
        </w:rPr>
        <w:t>17. Cobbe K., Kosaraju V., Bavarian M., Chen M., Jun H., Kaiser L., Plappert M., Tworek J., Hilton J., Nakano R., Hesse C., Schulman J. Training Verifiers to Solve Math Word Problems // arXiv preprint. 2021. arXiv:2110.14168.</w:t>
      </w:r>
    </w:p>
    <w:p>
      <w:pPr>
        <w:spacing w:after="80"/>
      </w:pPr>
      <w:r>
        <w:rPr>
          <w:sz w:val="24"/>
        </w:rPr>
        <w:t>18. Hattie J., Timperley H. The Power of Feedback // Review of Educational Research. 2007. Vol. 77(1). P. 81–112. DOI: 10.3102/003465430298487.</w:t>
      </w:r>
    </w:p>
    <w:p>
      <w:pPr>
        <w:spacing w:after="80"/>
      </w:pPr>
      <w:r>
        <w:rPr>
          <w:sz w:val="24"/>
        </w:rPr>
        <w:t>19. Shute V.J. Focus on Formative Feedback // Review of Educational Research. 2008. Vol. 78(1). P. 153–189. DOI: 10.3102/0034654307313795.</w:t>
      </w:r>
    </w:p>
    <w:p>
      <w:pPr>
        <w:spacing w:after="80"/>
      </w:pPr>
      <w:r>
        <w:rPr>
          <w:sz w:val="24"/>
        </w:rPr>
        <w:t>20. VanLehn K. The Relative Effectiveness of Human Tutoring, Intelligent Tutoring Systems, and Other Tutoring Systems // Educational Psychologist. 2011. Vol. 46(4). P. 197–221. DOI: 10.1080/00461520.2011.611369.</w:t>
      </w:r>
    </w:p>
    <w:p>
      <w:pPr>
        <w:spacing w:after="80"/>
      </w:pPr>
      <w:r>
        <w:rPr>
          <w:sz w:val="24"/>
        </w:rPr>
        <w:t>21. Kulik J.A., Fletcher J.D. Effectiveness of Intelligent Tutoring Systems: A Meta-Analytic Review // Review of Educational Research. 2016. Vol. 86(1). P. 42–78. DOI: 10.3102/0034654315581420.</w:t>
      </w:r>
    </w:p>
    <w:p>
      <w:pPr>
        <w:spacing w:after="80"/>
      </w:pPr>
      <w:r>
        <w:rPr>
          <w:sz w:val="24"/>
        </w:rPr>
        <w:t>22. Chi M.T.H., Bassok M., Lewis M.W., Reimann P., Glaser R. Self-Explanations: How Students Study and Use Examples in Learning to Solve Problems // Cognitive Science. 1989. Vol. 13(2). P. 145–182. DOI: 10.1207/s15516709cog1302_1.</w:t>
      </w:r>
    </w:p>
    <w:p>
      <w:pPr>
        <w:spacing w:after="80"/>
      </w:pPr>
      <w:r>
        <w:rPr>
          <w:sz w:val="24"/>
        </w:rPr>
        <w:t>23. Wang Y., Kordi Y., Mishra S., Liu A., Smith N.A., Khashabi D., Hajishirzi H. Self-Instruct: Aligning Language Models with Self-Generated Instructions // arXiv preprint. 2022. arXiv:2212.10560.</w:t>
      </w:r>
    </w:p>
    <w:p>
      <w:pPr>
        <w:spacing w:after="80"/>
      </w:pPr>
      <w:r>
        <w:rPr>
          <w:sz w:val="24"/>
        </w:rPr>
        <w:t>24. Zhou C., Liu P., Xu P., Iyer S., Sun J., Mao Y., Ma X., Efrat A., Yu P., Yu L., Zhang S., Ghosh G., Lewis M., Zettlemoyer L., Levy O. LIMA: Less Is More for Alignment // arXiv preprint. 2023. arXiv:2305.11206.</w:t>
      </w:r>
    </w:p>
    <w:sectPr>
      <w:pgSz w:w="11906" w:h="16838"/>
      <w:pgMar w:top="1440" w:right="1440" w:bottom="1440" w:left="1440" w:header="708" w:footer="708" w:gutter="0"/>
    </w:sectPr>
  </w:body>
</w:document>
</file>