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pPr>
      <w:r>
        <w:rPr>
          <w:rFonts w:ascii="Calibri" w:cs="Calibri" w:eastAsia="Calibri" w:hAnsi="Calibri"/>
          <w:b/>
          <w:bCs/>
          <w:color w:val="15304A"/>
          <w:sz w:val="56"/>
          <w:szCs w:val="56"/>
        </w:rPr>
        <w:t xml:space="preserve">GLP STEEL</w:t>
      </w:r>
    </w:p>
    <w:p>
      <w:pPr>
        <w:pBdr>
          <w:bottom w:val="single" w:color="B5502A" w:sz="12" w:space="8"/>
        </w:pBdr>
        <w:spacing w:after="400"/>
      </w:pPr>
      <w:r>
        <w:rPr>
          <w:rFonts w:ascii="Calibri" w:cs="Calibri" w:eastAsia="Calibri" w:hAnsi="Calibri"/>
          <w:color w:val="3D6E8F"/>
          <w:sz w:val="34"/>
          <w:szCs w:val="34"/>
        </w:rPr>
        <w:t xml:space="preserve">Go-to-Market Strategy</w:t>
      </w:r>
    </w:p>
    <w:p>
      <w:pPr>
        <w:spacing w:after="120"/>
      </w:pPr>
      <w:r>
        <w:rPr>
          <w:rFonts w:ascii="Calibri" w:cs="Calibri" w:eastAsia="Calibri" w:hAnsi="Calibri"/>
          <w:color w:val="333333"/>
          <w:sz w:val="24"/>
          <w:szCs w:val="24"/>
        </w:rPr>
        <w:t xml:space="preserve">Reaching GLP-1 patients, incretin-class users, and the prescribers who see them</w:t>
      </w:r>
    </w:p>
    <w:p>
      <w:pPr>
        <w:spacing w:after="600"/>
      </w:pPr>
      <w:r>
        <w:rPr>
          <w:rFonts w:ascii="Calibri" w:cs="Calibri" w:eastAsia="Calibri" w:hAnsi="Calibri"/>
          <w:i/>
          <w:iCs/>
          <w:color w:val="5A5A5A"/>
          <w:sz w:val="21"/>
          <w:szCs w:val="21"/>
        </w:rPr>
        <w:t xml:space="preserve">Social media + prescriber channel · United States · bootstrapped budget</w:t>
      </w:r>
    </w:p>
    <w:p>
      <w:pPr>
        <w:spacing w:after="600"/>
      </w:pPr>
    </w:p>
    <w:p>
      <w:pPr>
        <w:spacing w:after="120" w:line="276"/>
      </w:pPr>
      <w:r>
        <w:rPr>
          <w:rFonts w:ascii="Calibri" w:cs="Calibri" w:eastAsia="Calibri" w:hAnsi="Calibri"/>
          <w:color w:val="5A5A5A"/>
          <w:sz w:val="20"/>
          <w:szCs w:val="20"/>
        </w:rPr>
        <w:t xml:space="preserve">Prepared 12 August 2026</w:t>
      </w:r>
    </w:p>
    <w:p>
      <w:pPr>
        <w:spacing w:after="120" w:line="276"/>
      </w:pPr>
      <w:r>
        <w:rPr>
          <w:rFonts w:ascii="Calibri" w:cs="Calibri" w:eastAsia="Calibri" w:hAnsi="Calibri"/>
          <w:color w:val="5A5A5A"/>
          <w:sz w:val="20"/>
          <w:szCs w:val="20"/>
        </w:rPr>
        <w:t xml:space="preserve">Horizon: 90 days to App Store launch, with a 2027 retatrutide positioning track</w:t>
      </w:r>
    </w:p>
    <w:p>
      <w:pPr>
        <w:spacing w:after="120" w:line="276"/>
      </w:pPr>
      <w:r>
        <w:rPr>
          <w:rFonts w:ascii="Calibri" w:cs="Calibri" w:eastAsia="Calibri" w:hAnsi="Calibri"/>
          <w:color w:val="5A5A5A"/>
          <w:sz w:val="20"/>
          <w:szCs w:val="20"/>
        </w:rPr>
        <w:t xml:space="preserve">Status: app in TestFlight, public launch in 30–90 days</w:t>
      </w:r>
    </w:p>
    <w:p>
      <w:r>
        <w:br w:type="page"/>
      </w:r>
    </w:p>
    <w:p>
      <w:pPr>
        <w:pStyle w:val="Heading1"/>
        <w:pBdr>
          <w:bottom w:val="single" w:color="3D6E8F" w:sz="8" w:space="6"/>
        </w:pBdr>
        <w:spacing w:after="160" w:before="360"/>
      </w:pPr>
      <w:r>
        <w:rPr>
          <w:rFonts w:ascii="Calibri" w:cs="Calibri" w:eastAsia="Calibri" w:hAnsi="Calibri"/>
          <w:b/>
          <w:bCs/>
          <w:color w:val="15304A"/>
          <w:sz w:val="30"/>
          <w:szCs w:val="30"/>
        </w:rPr>
        <w:t xml:space="preserve">1. The strategy in one page</w:t>
      </w:r>
    </w:p>
    <w:p>
      <w:pPr>
        <w:spacing w:after="120" w:line="276"/>
      </w:pPr>
      <w:r>
        <w:rPr>
          <w:rFonts w:ascii="Calibri" w:cs="Calibri" w:eastAsia="Calibri" w:hAnsi="Calibri"/>
          <w:color w:val="222222"/>
          <w:sz w:val="21"/>
          <w:szCs w:val="21"/>
        </w:rPr>
        <w:t xml:space="preserve">Forty million American adults are on a GLP-1 for weight loss right now. A large share of them are quietly losing muscle along with the fat, most of them have never lifted a weight, and almost nobody is selling them the fix. That gap is the entire business.</w:t>
      </w:r>
    </w:p>
    <w:tbl>
      <w:tblPr>
        <w:tblW w:type="dxa" w:w="9360"/>
        <w:tblBorders>
          <w:top w:val="single" w:color="B5502A" w:sz="4"/>
          <w:left w:val="single" w:color="B5502A" w:sz="24"/>
          <w:bottom w:val="single" w:color="B5502A" w:sz="4"/>
          <w:right w:val="single" w:color="B5502A" w:sz="4"/>
          <w:insideH w:val="none"/>
          <w:insideV w:val="none"/>
        </w:tblBorders>
      </w:tblPr>
      <w:tblGrid>
        <w:gridCol w:w="9360"/>
      </w:tblGrid>
      <w:tr>
        <w:tc>
          <w:tcPr>
            <w:tcW w:type="dxa" w:w="9360"/>
            <w:shd w:fill="EEF3F7" w:val="clear"/>
            <w:tcMar>
              <w:top w:type="dxa" w:w="160"/>
              <w:left w:type="dxa" w:w="200"/>
              <w:bottom w:type="dxa" w:w="160"/>
              <w:right w:type="dxa" w:w="200"/>
            </w:tcMar>
          </w:tcPr>
          <w:p>
            <w:pPr>
              <w:spacing w:after="80"/>
            </w:pPr>
            <w:r>
              <w:rPr>
                <w:rFonts w:ascii="Calibri" w:cs="Calibri" w:eastAsia="Calibri" w:hAnsi="Calibri"/>
                <w:b/>
                <w:bCs/>
                <w:color w:val="B5502A"/>
                <w:sz w:val="21"/>
                <w:szCs w:val="21"/>
              </w:rPr>
              <w:t xml:space="preserve">Positioning statement — everything else follows from this</w:t>
            </w:r>
          </w:p>
          <w:p>
            <w:pPr>
              <w:spacing w:after="90" w:line="264"/>
            </w:pPr>
            <w:r>
              <w:rPr>
                <w:rFonts w:ascii="Calibri" w:cs="Calibri" w:eastAsia="Calibri" w:hAnsi="Calibri"/>
                <w:color w:val="333333"/>
                <w:sz w:val="20"/>
                <w:szCs w:val="20"/>
              </w:rPr>
              <w:t xml:space="preserve">GLP Steel is not a weight-loss app. It is the muscle-preservation layer for people already on the drugs.</w:t>
            </w:r>
          </w:p>
          <w:p>
            <w:pPr>
              <w:spacing w:after="0" w:line="264"/>
            </w:pPr>
            <w:r>
              <w:rPr>
                <w:rFonts w:ascii="Calibri" w:cs="Calibri" w:eastAsia="Calibri" w:hAnsi="Calibri"/>
                <w:color w:val="333333"/>
                <w:sz w:val="20"/>
                <w:szCs w:val="20"/>
              </w:rPr>
              <w:t xml:space="preserve">The drug handles the appetite. GLP Steel handles what the scale does not show: keeping the muscle you have while the fat comes off.</w:t>
            </w:r>
          </w:p>
        </w:tc>
      </w:tr>
    </w:tbl>
    <w:p>
      <w:pPr>
        <w:spacing w:after="160"/>
      </w:pPr>
    </w:p>
    <w:p>
      <w:pPr>
        <w:spacing w:after="120" w:line="276"/>
      </w:pPr>
      <w:r>
        <w:rPr>
          <w:rFonts w:ascii="Calibri" w:cs="Calibri" w:eastAsia="Calibri" w:hAnsi="Calibri"/>
          <w:color w:val="222222"/>
          <w:sz w:val="21"/>
          <w:szCs w:val="21"/>
        </w:rPr>
        <w:t xml:space="preserve">This positioning does three jobs at once, which is why it should be treated as locked rather than as one option among several:</w:t>
      </w:r>
    </w:p>
    <w:p>
      <w:pPr>
        <w:pStyle w:val="ListParagraph"/>
        <w:numPr>
          <w:ilvl w:val="0"/>
          <w:numId w:val="2"/>
        </w:numPr>
        <w:spacing w:after="70" w:line="264"/>
      </w:pPr>
      <w:r>
        <w:rPr>
          <w:rFonts w:ascii="Calibri" w:cs="Calibri" w:eastAsia="Calibri" w:hAnsi="Calibri"/>
          <w:b/>
          <w:bCs/>
          <w:color w:val="15304A"/>
          <w:sz w:val="21"/>
          <w:szCs w:val="21"/>
        </w:rPr>
        <w:t xml:space="preserve">It differentiates. </w:t>
      </w:r>
      <w:r>
        <w:rPr>
          <w:rFonts w:ascii="Calibri" w:cs="Calibri" w:eastAsia="Calibri" w:hAnsi="Calibri"/>
          <w:color w:val="222222"/>
          <w:sz w:val="21"/>
          <w:szCs w:val="21"/>
        </w:rPr>
        <w:t xml:space="preserve">There are thousands of weight-loss apps and effectively no consumer app built specifically for lean-mass retention during pharmacological weight loss on whatever equipment the user already owns.</w:t>
      </w:r>
    </w:p>
    <w:p>
      <w:pPr>
        <w:pStyle w:val="ListParagraph"/>
        <w:numPr>
          <w:ilvl w:val="0"/>
          <w:numId w:val="2"/>
        </w:numPr>
        <w:spacing w:after="70" w:line="264"/>
      </w:pPr>
      <w:r>
        <w:rPr>
          <w:rFonts w:ascii="Calibri" w:cs="Calibri" w:eastAsia="Calibri" w:hAnsi="Calibri"/>
          <w:b/>
          <w:bCs/>
          <w:color w:val="15304A"/>
          <w:sz w:val="21"/>
          <w:szCs w:val="21"/>
        </w:rPr>
        <w:t xml:space="preserve">It survives ad review. </w:t>
      </w:r>
      <w:r>
        <w:rPr>
          <w:rFonts w:ascii="Calibri" w:cs="Calibri" w:eastAsia="Calibri" w:hAnsi="Calibri"/>
          <w:color w:val="222222"/>
          <w:sz w:val="21"/>
          <w:szCs w:val="21"/>
        </w:rPr>
        <w:t xml:space="preserve">Meta and TikTok both restrict weight-loss advertising heavily. Strength training and protein intake are not weight-loss claims, so the same message that differentiates you is also the message that gets approved.</w:t>
      </w:r>
    </w:p>
    <w:p>
      <w:pPr>
        <w:pStyle w:val="ListParagraph"/>
        <w:numPr>
          <w:ilvl w:val="0"/>
          <w:numId w:val="2"/>
        </w:numPr>
        <w:spacing w:after="70" w:line="264"/>
      </w:pPr>
      <w:r>
        <w:rPr>
          <w:rFonts w:ascii="Calibri" w:cs="Calibri" w:eastAsia="Calibri" w:hAnsi="Calibri"/>
          <w:b/>
          <w:bCs/>
          <w:color w:val="15304A"/>
          <w:sz w:val="21"/>
          <w:szCs w:val="21"/>
        </w:rPr>
        <w:t xml:space="preserve">It earns clinical credibility. </w:t>
      </w:r>
      <w:r>
        <w:rPr>
          <w:rFonts w:ascii="Calibri" w:cs="Calibri" w:eastAsia="Calibri" w:hAnsi="Calibri"/>
          <w:color w:val="222222"/>
          <w:sz w:val="21"/>
          <w:szCs w:val="21"/>
        </w:rPr>
        <w:t xml:space="preserve">Resistance training plus adequate protein is what the 2026 clinical literature actually recommends for patients on these drugs. You are not asking a physician to endorse a marketing claim — you are handing them a tool that does what they already tell patients to do.</w:t>
      </w:r>
    </w:p>
    <w:p>
      <w:pPr>
        <w:spacing w:after="120"/>
      </w:pPr>
    </w:p>
    <w:p>
      <w:pPr>
        <w:pStyle w:val="Heading2"/>
        <w:spacing w:after="100" w:before="260"/>
      </w:pPr>
      <w:r>
        <w:rPr>
          <w:rFonts w:ascii="Calibri" w:cs="Calibri" w:eastAsia="Calibri" w:hAnsi="Calibri"/>
          <w:b/>
          <w:bCs/>
          <w:color w:val="3D6E8F"/>
          <w:sz w:val="24"/>
          <w:szCs w:val="24"/>
        </w:rPr>
        <w:t xml:space="preserve">The three channels, in priority order</w:t>
      </w:r>
    </w:p>
    <w:tbl>
      <w:tblPr>
        <w:tblW w:type="dxa" w:w="9360"/>
        <w:tblBorders>
          <w:top w:val="single" w:color="C9D6E0" w:sz="2"/>
          <w:left w:val="single" w:color="C9D6E0" w:sz="2"/>
          <w:bottom w:val="single" w:color="C9D6E0" w:sz="2"/>
          <w:right w:val="single" w:color="C9D6E0" w:sz="2"/>
          <w:insideH w:val="single" w:color="D9E2E9" w:sz="2"/>
          <w:insideV w:val="single" w:color="D9E2E9" w:sz="2"/>
        </w:tblBorders>
      </w:tblPr>
      <w:tblGrid>
        <w:gridCol w:w="1900"/>
        <w:gridCol w:w="5100"/>
        <w:gridCol w:w="2360"/>
      </w:tblGrid>
      <w:tr>
        <w:trPr>
          <w:tblHeader/>
        </w:trPr>
        <w:tc>
          <w:tcPr>
            <w:tcW w:type="dxa" w:w="1900"/>
            <w:shd w:fill="15304A"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Channel</w:t>
            </w:r>
          </w:p>
        </w:tc>
        <w:tc>
          <w:tcPr>
            <w:tcW w:type="dxa" w:w="5100"/>
            <w:shd w:fill="15304A"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Why it wins</w:t>
            </w:r>
          </w:p>
        </w:tc>
        <w:tc>
          <w:tcPr>
            <w:tcW w:type="dxa" w:w="2360"/>
            <w:shd w:fill="15304A"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Effort / cost</w:t>
            </w:r>
          </w:p>
        </w:tc>
      </w:tr>
      <w:tr>
        <w:tc>
          <w:tcPr>
            <w:tcW w:type="dxa" w:w="1900"/>
            <w:shd w:fill="FFFFFF"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1. Prescriber offices</w:t>
            </w:r>
          </w:p>
        </w:tc>
        <w:tc>
          <w:tcPr>
            <w:tcW w:type="dxa" w:w="510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Highest-trust referral in healthcare. Patients ask "will I lose muscle?" and the provider has nothing to hand them. You become the answer. Zero ad spend.</w:t>
            </w:r>
          </w:p>
        </w:tc>
        <w:tc>
          <w:tcPr>
            <w:tcW w:type="dxa" w:w="236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High effort, near-zero cost. Walking and emailing.</w:t>
            </w:r>
          </w:p>
        </w:tc>
      </w:tr>
      <w:tr>
        <w:tc>
          <w:tcPr>
            <w:tcW w:type="dxa" w:w="1900"/>
            <w:shd w:fill="F5F8FA"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2. Organic social + communities</w:t>
            </w:r>
          </w:p>
        </w:tc>
        <w:tc>
          <w:tcPr>
            <w:tcW w:type="dxa" w:w="510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GLP-1 patients congregate in enormous, highly engaged Reddit and Facebook communities. Body-composition anxiety is the most-discussed topic in them.</w:t>
            </w:r>
          </w:p>
        </w:tc>
        <w:tc>
          <w:tcPr>
            <w:tcW w:type="dxa" w:w="236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High effort, near-zero cost. Daily posting discipline.</w:t>
            </w:r>
          </w:p>
        </w:tc>
      </w:tr>
      <w:tr>
        <w:tc>
          <w:tcPr>
            <w:tcW w:type="dxa" w:w="1900"/>
            <w:shd w:fill="FFFFFF"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3. The retatrutide content moat</w:t>
            </w:r>
          </w:p>
        </w:tc>
        <w:tc>
          <w:tcPr>
            <w:tcW w:type="dxa" w:w="510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Retatrutide is not approved yet. Search demand is already large and the quality competition is thin. Publish now, rank by the time it launches.</w:t>
            </w:r>
          </w:p>
        </w:tc>
        <w:tc>
          <w:tcPr>
            <w:tcW w:type="dxa" w:w="236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Medium effort, zero cost. Compounding.</w:t>
            </w:r>
          </w:p>
        </w:tc>
      </w:tr>
    </w:tbl>
    <w:p>
      <w:pPr>
        <w:spacing w:after="200"/>
      </w:pPr>
    </w:p>
    <w:tbl>
      <w:tblPr>
        <w:tblW w:type="dxa" w:w="9360"/>
        <w:tblBorders>
          <w:top w:val="single" w:color="3D6E8F" w:sz="4"/>
          <w:left w:val="single" w:color="3D6E8F" w:sz="24"/>
          <w:bottom w:val="single" w:color="3D6E8F" w:sz="4"/>
          <w:right w:val="single" w:color="3D6E8F" w:sz="4"/>
          <w:insideH w:val="none"/>
          <w:insideV w:val="none"/>
        </w:tblBorders>
      </w:tblPr>
      <w:tblGrid>
        <w:gridCol w:w="9360"/>
      </w:tblGrid>
      <w:tr>
        <w:tc>
          <w:tcPr>
            <w:tcW w:type="dxa" w:w="9360"/>
            <w:shd w:fill="EEF3F7" w:val="clear"/>
            <w:tcMar>
              <w:top w:type="dxa" w:w="160"/>
              <w:left w:type="dxa" w:w="200"/>
              <w:bottom w:type="dxa" w:w="160"/>
              <w:right w:type="dxa" w:w="200"/>
            </w:tcMar>
          </w:tcPr>
          <w:p>
            <w:pPr>
              <w:spacing w:after="80"/>
            </w:pPr>
            <w:r>
              <w:rPr>
                <w:rFonts w:ascii="Calibri" w:cs="Calibri" w:eastAsia="Calibri" w:hAnsi="Calibri"/>
                <w:b/>
                <w:bCs/>
                <w:color w:val="3D6E8F"/>
                <w:sz w:val="21"/>
                <w:szCs w:val="21"/>
              </w:rPr>
              <w:t xml:space="preserve">What to do this week</w:t>
            </w:r>
          </w:p>
          <w:p>
            <w:pPr>
              <w:spacing w:after="90" w:line="264"/>
            </w:pPr>
            <w:r>
              <w:rPr>
                <w:rFonts w:ascii="Calibri" w:cs="Calibri" w:eastAsia="Calibri" w:hAnsi="Calibri"/>
                <w:color w:val="333333"/>
                <w:sz w:val="20"/>
                <w:szCs w:val="20"/>
              </w:rPr>
              <w:t xml:space="preserve">1. Lock the positioning above and rewrite the App Store listing and website around muscle preservation, not weight loss.</w:t>
            </w:r>
          </w:p>
          <w:p>
            <w:pPr>
              <w:spacing w:after="90" w:line="264"/>
            </w:pPr>
            <w:r>
              <w:rPr>
                <w:rFonts w:ascii="Calibri" w:cs="Calibri" w:eastAsia="Calibri" w:hAnsi="Calibri"/>
                <w:color w:val="333333"/>
                <w:sz w:val="20"/>
                <w:szCs w:val="20"/>
              </w:rPr>
              <w:t xml:space="preserve">2. Build the one-page clinic handout (copy is in Appendix A) and print 200 of them.</w:t>
            </w:r>
          </w:p>
          <w:p>
            <w:pPr>
              <w:spacing w:after="90" w:line="264"/>
            </w:pPr>
            <w:r>
              <w:rPr>
                <w:rFonts w:ascii="Calibri" w:cs="Calibri" w:eastAsia="Calibri" w:hAnsi="Calibri"/>
                <w:color w:val="333333"/>
                <w:sz w:val="20"/>
                <w:szCs w:val="20"/>
              </w:rPr>
              <w:t xml:space="preserve">3. Pick your 40-clinic target list inside one metro area. Med spas and medical weight-loss clinics first, not hospitals.</w:t>
            </w:r>
          </w:p>
          <w:p>
            <w:pPr>
              <w:spacing w:after="90" w:line="264"/>
            </w:pPr>
            <w:r>
              <w:rPr>
                <w:rFonts w:ascii="Calibri" w:cs="Calibri" w:eastAsia="Calibri" w:hAnsi="Calibri"/>
                <w:color w:val="333333"/>
                <w:sz w:val="20"/>
                <w:szCs w:val="20"/>
              </w:rPr>
              <w:t xml:space="preserve">4. Create accounts and start reading — not posting — in the six communities listed in Section 5.</w:t>
            </w:r>
          </w:p>
          <w:p>
            <w:pPr>
              <w:spacing w:after="0" w:line="264"/>
            </w:pPr>
            <w:r>
              <w:rPr>
                <w:rFonts w:ascii="Calibri" w:cs="Calibri" w:eastAsia="Calibri" w:hAnsi="Calibri"/>
                <w:color w:val="333333"/>
                <w:sz w:val="20"/>
                <w:szCs w:val="20"/>
              </w:rPr>
              <w:t xml:space="preserve">5. Publish the first retatrutide explainer page. It costs nothing and starts aging immediately, which is what search rewards.</w:t>
            </w:r>
          </w:p>
        </w:tc>
      </w:tr>
    </w:tbl>
    <w:p>
      <w:r>
        <w:br w:type="page"/>
      </w:r>
    </w:p>
    <w:p>
      <w:pPr>
        <w:pStyle w:val="Heading1"/>
        <w:pBdr>
          <w:bottom w:val="single" w:color="3D6E8F" w:sz="8" w:space="6"/>
        </w:pBdr>
        <w:spacing w:after="160" w:before="360"/>
      </w:pPr>
      <w:r>
        <w:rPr>
          <w:rFonts w:ascii="Calibri" w:cs="Calibri" w:eastAsia="Calibri" w:hAnsi="Calibri"/>
          <w:b/>
          <w:bCs/>
          <w:color w:val="15304A"/>
          <w:sz w:val="30"/>
          <w:szCs w:val="30"/>
        </w:rPr>
        <w:t xml:space="preserve">2. Two corrections before you spend anything</w:t>
      </w:r>
    </w:p>
    <w:p>
      <w:pPr>
        <w:spacing w:after="120" w:line="276"/>
      </w:pPr>
      <w:r>
        <w:rPr>
          <w:rFonts w:ascii="Calibri" w:cs="Calibri" w:eastAsia="Calibri" w:hAnsi="Calibri"/>
          <w:color w:val="222222"/>
          <w:sz w:val="21"/>
          <w:szCs w:val="21"/>
        </w:rPr>
        <w:t xml:space="preserve">Both of these change the plan materially, so they come before the strategy rather than in a footnote.</w:t>
      </w:r>
    </w:p>
    <w:p>
      <w:pPr>
        <w:pStyle w:val="Heading2"/>
        <w:spacing w:after="100" w:before="260"/>
      </w:pPr>
      <w:r>
        <w:rPr>
          <w:rFonts w:ascii="Calibri" w:cs="Calibri" w:eastAsia="Calibri" w:hAnsi="Calibri"/>
          <w:b/>
          <w:bCs/>
          <w:color w:val="3D6E8F"/>
          <w:sz w:val="24"/>
          <w:szCs w:val="24"/>
        </w:rPr>
        <w:t xml:space="preserve">2.1 Retatrutide is not "coming out" — it is roughly 18 months away</w:t>
      </w:r>
    </w:p>
    <w:p>
      <w:pPr>
        <w:spacing w:after="120" w:line="276"/>
      </w:pPr>
      <w:r>
        <w:rPr>
          <w:rFonts w:ascii="Calibri" w:cs="Calibri" w:eastAsia="Calibri" w:hAnsi="Calibri"/>
          <w:color w:val="222222"/>
          <w:sz w:val="21"/>
          <w:szCs w:val="21"/>
        </w:rPr>
        <w:t xml:space="preserve">As of August 2026 retatrutide is still investigational and not FDA approved. Lilly has said it plans to submit a Biologics License Application in Q1 2027. FDA review of a BLA typically runs 10–12 months, which puts a realistic approval in late 2027 or 2028.</w:t>
      </w:r>
    </w:p>
    <w:p>
      <w:pPr>
        <w:spacing w:after="120" w:line="276"/>
      </w:pPr>
      <w:r>
        <w:rPr>
          <w:rFonts w:ascii="Calibri" w:cs="Calibri" w:eastAsia="Calibri" w:hAnsi="Calibri"/>
          <w:color w:val="222222"/>
          <w:sz w:val="21"/>
          <w:szCs w:val="21"/>
        </w:rPr>
        <w:t xml:space="preserve">The one thing that did change recently: on 3 August 2026, after physician pressure that followed a widely reported single-patient compassionate-use case, Lilly opened a narrow expanded-access pathway. Eligibility is restrictive — adults 18+, treatment-resistant obesity, at least two serious or life-threatening obesity-related complications, and unable to enrol in trials or use comparable treatments. That is a very small population. It is a news story, not a market.</w:t>
      </w:r>
    </w:p>
    <w:tbl>
      <w:tblPr>
        <w:tblW w:type="dxa" w:w="9360"/>
        <w:tblBorders>
          <w:top w:val="single" w:color="B5502A" w:sz="4"/>
          <w:left w:val="single" w:color="B5502A" w:sz="24"/>
          <w:bottom w:val="single" w:color="B5502A" w:sz="4"/>
          <w:right w:val="single" w:color="B5502A" w:sz="4"/>
          <w:insideH w:val="none"/>
          <w:insideV w:val="none"/>
        </w:tblBorders>
      </w:tblPr>
      <w:tblGrid>
        <w:gridCol w:w="9360"/>
      </w:tblGrid>
      <w:tr>
        <w:tc>
          <w:tcPr>
            <w:tcW w:type="dxa" w:w="9360"/>
            <w:shd w:fill="EEF3F7" w:val="clear"/>
            <w:tcMar>
              <w:top w:type="dxa" w:w="160"/>
              <w:left w:type="dxa" w:w="200"/>
              <w:bottom w:type="dxa" w:w="160"/>
              <w:right w:type="dxa" w:w="200"/>
            </w:tcMar>
          </w:tcPr>
          <w:p>
            <w:pPr>
              <w:spacing w:after="80"/>
            </w:pPr>
            <w:r>
              <w:rPr>
                <w:rFonts w:ascii="Calibri" w:cs="Calibri" w:eastAsia="Calibri" w:hAnsi="Calibri"/>
                <w:b/>
                <w:bCs/>
                <w:color w:val="B5502A"/>
                <w:sz w:val="21"/>
                <w:szCs w:val="21"/>
              </w:rPr>
              <w:t xml:space="preserve">What this means for the plan</w:t>
            </w:r>
          </w:p>
          <w:p>
            <w:pPr>
              <w:spacing w:after="90" w:line="264"/>
            </w:pPr>
            <w:r>
              <w:rPr>
                <w:rFonts w:ascii="Calibri" w:cs="Calibri" w:eastAsia="Calibri" w:hAnsi="Calibri"/>
                <w:color w:val="333333"/>
                <w:sz w:val="20"/>
                <w:szCs w:val="20"/>
              </w:rPr>
              <w:t xml:space="preserve">Do not build a launch campaign around retatrutide availability. There is nothing to launch alongside.</w:t>
            </w:r>
          </w:p>
          <w:p>
            <w:pPr>
              <w:spacing w:after="90" w:line="264"/>
            </w:pPr>
            <w:r>
              <w:rPr>
                <w:rFonts w:ascii="Calibri" w:cs="Calibri" w:eastAsia="Calibri" w:hAnsi="Calibri"/>
                <w:color w:val="333333"/>
                <w:sz w:val="20"/>
                <w:szCs w:val="20"/>
              </w:rPr>
              <w:t xml:space="preserve">Do build the content and email list now. Search interest is already heavy and the top results are dominated by gray-market sellers, which means an honest, useful page can rank without a budget.</w:t>
            </w:r>
          </w:p>
          <w:p>
            <w:pPr>
              <w:spacing w:after="0" w:line="264"/>
            </w:pPr>
            <w:r>
              <w:rPr>
                <w:rFonts w:ascii="Calibri" w:cs="Calibri" w:eastAsia="Calibri" w:hAnsi="Calibri"/>
                <w:color w:val="333333"/>
                <w:sz w:val="20"/>
                <w:szCs w:val="20"/>
              </w:rPr>
              <w:t xml:space="preserve">Treat retatrutide as a 2027 option you are pre-positioning for, funded by exactly zero incremental spend.</w:t>
            </w:r>
          </w:p>
        </w:tc>
      </w:tr>
    </w:tbl>
    <w:p>
      <w:pPr>
        <w:spacing w:after="140"/>
      </w:pPr>
    </w:p>
    <w:p>
      <w:pPr>
        <w:pStyle w:val="Heading2"/>
        <w:spacing w:after="100" w:before="260"/>
      </w:pPr>
      <w:r>
        <w:rPr>
          <w:rFonts w:ascii="Calibri" w:cs="Calibri" w:eastAsia="Calibri" w:hAnsi="Calibri"/>
          <w:b/>
          <w:bCs/>
          <w:color w:val="3D6E8F"/>
          <w:sz w:val="24"/>
          <w:szCs w:val="24"/>
        </w:rPr>
        <w:t xml:space="preserve">2.2 "GLP-2" is almost certainly not the audience you mean</w:t>
      </w:r>
    </w:p>
    <w:p>
      <w:pPr>
        <w:spacing w:after="120" w:line="276"/>
      </w:pPr>
      <w:r>
        <w:rPr>
          <w:rFonts w:ascii="Calibri" w:cs="Calibri" w:eastAsia="Calibri" w:hAnsi="Calibri"/>
          <w:color w:val="222222"/>
          <w:sz w:val="21"/>
          <w:szCs w:val="21"/>
        </w:rPr>
        <w:t xml:space="preserve">GLP-2 receptor agonists — teduglutide and the newer apraglutide — treat short bowel syndrome. They are for intestinal absorption, not obesity, and the patient population is measured in thousands, not millions. Marketing a muscle-preservation training app to them would be a category error.</w:t>
      </w:r>
    </w:p>
    <w:p>
      <w:pPr>
        <w:spacing w:after="120" w:line="276"/>
      </w:pPr>
      <w:r>
        <w:rPr>
          <w:rFonts w:ascii="Calibri" w:cs="Calibri" w:eastAsia="Calibri" w:hAnsi="Calibri"/>
          <w:b/>
          <w:bCs/>
          <w:color w:val="222222"/>
          <w:sz w:val="21"/>
          <w:szCs w:val="21"/>
        </w:rPr>
        <w:t xml:space="preserve">What you almost certainly mean is the incretin class as a whole</w:t>
      </w:r>
      <w:r>
        <w:rPr>
          <w:rFonts w:ascii="Calibri" w:cs="Calibri" w:eastAsia="Calibri" w:hAnsi="Calibri"/>
          <w:color w:val="222222"/>
          <w:sz w:val="21"/>
          <w:szCs w:val="21"/>
        </w:rPr>
        <w:t xml:space="preserve">, which is worth defining internally so your copy stays accurate:</w:t>
      </w:r>
    </w:p>
    <w:p>
      <w:pPr>
        <w:pStyle w:val="ListParagraph"/>
        <w:numPr>
          <w:ilvl w:val="0"/>
          <w:numId w:val="2"/>
        </w:numPr>
        <w:spacing w:after="70" w:line="264"/>
      </w:pPr>
      <w:r>
        <w:rPr>
          <w:rFonts w:ascii="Calibri" w:cs="Calibri" w:eastAsia="Calibri" w:hAnsi="Calibri"/>
          <w:b/>
          <w:bCs/>
          <w:color w:val="15304A"/>
          <w:sz w:val="21"/>
          <w:szCs w:val="21"/>
        </w:rPr>
        <w:t xml:space="preserve">GLP-1 receptor agonists — </w:t>
      </w:r>
      <w:r>
        <w:rPr>
          <w:rFonts w:ascii="Calibri" w:cs="Calibri" w:eastAsia="Calibri" w:hAnsi="Calibri"/>
          <w:color w:val="222222"/>
          <w:sz w:val="21"/>
          <w:szCs w:val="21"/>
        </w:rPr>
        <w:t xml:space="preserve">semaglutide, liraglutide. The original wave.</w:t>
      </w:r>
    </w:p>
    <w:p>
      <w:pPr>
        <w:pStyle w:val="ListParagraph"/>
        <w:numPr>
          <w:ilvl w:val="0"/>
          <w:numId w:val="2"/>
        </w:numPr>
        <w:spacing w:after="70" w:line="264"/>
      </w:pPr>
      <w:r>
        <w:rPr>
          <w:rFonts w:ascii="Calibri" w:cs="Calibri" w:eastAsia="Calibri" w:hAnsi="Calibri"/>
          <w:b/>
          <w:bCs/>
          <w:color w:val="15304A"/>
          <w:sz w:val="21"/>
          <w:szCs w:val="21"/>
        </w:rPr>
        <w:t xml:space="preserve">Dual GIP / GLP-1 agonists — </w:t>
      </w:r>
      <w:r>
        <w:rPr>
          <w:rFonts w:ascii="Calibri" w:cs="Calibri" w:eastAsia="Calibri" w:hAnsi="Calibri"/>
          <w:color w:val="222222"/>
          <w:sz w:val="21"/>
          <w:szCs w:val="21"/>
        </w:rPr>
        <w:t xml:space="preserve">tirzepatide. Now the volume leader and the one with the better published lean-mass profile.</w:t>
      </w:r>
    </w:p>
    <w:p>
      <w:pPr>
        <w:pStyle w:val="ListParagraph"/>
        <w:numPr>
          <w:ilvl w:val="0"/>
          <w:numId w:val="2"/>
        </w:numPr>
        <w:spacing w:after="70" w:line="264"/>
      </w:pPr>
      <w:r>
        <w:rPr>
          <w:rFonts w:ascii="Calibri" w:cs="Calibri" w:eastAsia="Calibri" w:hAnsi="Calibri"/>
          <w:b/>
          <w:bCs/>
          <w:color w:val="15304A"/>
          <w:sz w:val="21"/>
          <w:szCs w:val="21"/>
        </w:rPr>
        <w:t xml:space="preserve">Triple agonists (GLP-1 / GIP / glucagon) — </w:t>
      </w:r>
      <w:r>
        <w:rPr>
          <w:rFonts w:ascii="Calibri" w:cs="Calibri" w:eastAsia="Calibri" w:hAnsi="Calibri"/>
          <w:color w:val="222222"/>
          <w:sz w:val="21"/>
          <w:szCs w:val="21"/>
        </w:rPr>
        <w:t xml:space="preserve">retatrutide. Investigational; the deepest weight loss and therefore, plausibly, the highest absolute lean-mass risk.</w:t>
      </w:r>
    </w:p>
    <w:p>
      <w:pPr>
        <w:spacing w:after="120" w:line="276"/>
      </w:pPr>
      <w:r>
        <w:rPr>
          <w:rFonts w:ascii="Calibri" w:cs="Calibri" w:eastAsia="Calibri" w:hAnsi="Calibri"/>
          <w:i/>
          <w:iCs/>
          <w:color w:val="5A5A5A"/>
          <w:sz w:val="21"/>
          <w:szCs w:val="21"/>
        </w:rPr>
        <w:t xml:space="preserve">For public-facing copy, use plain language — "weight-loss injections", "GLP-1 medications", "your medication". Avoid stacking acronyms at a patient audience, and avoid brand names in paid creative for the reasons in Section 7.</w:t>
      </w:r>
    </w:p>
    <w:p>
      <w:r>
        <w:br w:type="page"/>
      </w:r>
    </w:p>
    <w:p>
      <w:pPr>
        <w:pStyle w:val="Heading1"/>
        <w:pBdr>
          <w:bottom w:val="single" w:color="3D6E8F" w:sz="8" w:space="6"/>
        </w:pBdr>
        <w:spacing w:after="160" w:before="360"/>
      </w:pPr>
      <w:r>
        <w:rPr>
          <w:rFonts w:ascii="Calibri" w:cs="Calibri" w:eastAsia="Calibri" w:hAnsi="Calibri"/>
          <w:b/>
          <w:bCs/>
          <w:color w:val="15304A"/>
          <w:sz w:val="30"/>
          <w:szCs w:val="30"/>
        </w:rPr>
        <w:t xml:space="preserve">3. The market you are actually addressing</w:t>
      </w:r>
    </w:p>
    <w:tbl>
      <w:tblPr>
        <w:tblW w:type="dxa" w:w="9360"/>
        <w:tblBorders>
          <w:top w:val="single" w:color="C9D6E0" w:sz="2"/>
          <w:left w:val="single" w:color="C9D6E0" w:sz="2"/>
          <w:bottom w:val="single" w:color="C9D6E0" w:sz="2"/>
          <w:right w:val="single" w:color="C9D6E0" w:sz="2"/>
          <w:insideH w:val="single" w:color="D9E2E9" w:sz="2"/>
          <w:insideV w:val="single" w:color="D9E2E9" w:sz="2"/>
        </w:tblBorders>
      </w:tblPr>
      <w:tblGrid>
        <w:gridCol w:w="2500"/>
        <w:gridCol w:w="1900"/>
        <w:gridCol w:w="4960"/>
      </w:tblGrid>
      <w:tr>
        <w:trPr>
          <w:tblHeader/>
        </w:trPr>
        <w:tc>
          <w:tcPr>
            <w:tcW w:type="dxa" w:w="2500"/>
            <w:shd w:fill="15304A"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Figure</w:t>
            </w:r>
          </w:p>
        </w:tc>
        <w:tc>
          <w:tcPr>
            <w:tcW w:type="dxa" w:w="1900"/>
            <w:shd w:fill="15304A"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Value</w:t>
            </w:r>
          </w:p>
        </w:tc>
        <w:tc>
          <w:tcPr>
            <w:tcW w:type="dxa" w:w="4960"/>
            <w:shd w:fill="15304A"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Why it matters to you</w:t>
            </w:r>
          </w:p>
        </w:tc>
      </w:tr>
      <w:tr>
        <w:tc>
          <w:tcPr>
            <w:tcW w:type="dxa" w:w="2500"/>
            <w:shd w:fill="FFFFFF"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US adults currently taking a GLP-1 for weight loss</w:t>
            </w:r>
          </w:p>
        </w:tc>
        <w:tc>
          <w:tcPr>
            <w:tcW w:type="dxa" w:w="190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11% — roughly 40 million</w:t>
            </w:r>
          </w:p>
        </w:tc>
        <w:tc>
          <w:tcPr>
            <w:tcW w:type="dxa" w:w="496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This is no longer a niche. It is one in nine adults, and Medicare coverage beginning in 2026 pushed it there.</w:t>
            </w:r>
          </w:p>
        </w:tc>
      </w:tr>
      <w:tr>
        <w:tc>
          <w:tcPr>
            <w:tcW w:type="dxa" w:w="2500"/>
            <w:shd w:fill="F5F8FA"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US adults who have ever used one for weight loss</w:t>
            </w:r>
          </w:p>
        </w:tc>
        <w:tc>
          <w:tcPr>
            <w:tcW w:type="dxa" w:w="190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15%</w:t>
            </w:r>
          </w:p>
        </w:tc>
        <w:tc>
          <w:tcPr>
            <w:tcW w:type="dxa" w:w="496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The lapsed-user population is large and growing. Many quit and regain — a strength habit is what survives discontinuation.</w:t>
            </w:r>
          </w:p>
        </w:tc>
      </w:tr>
      <w:tr>
        <w:tc>
          <w:tcPr>
            <w:tcW w:type="dxa" w:w="2500"/>
            <w:shd w:fill="FFFFFF"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Adults on any GLP-1 (incl. diabetes, CV, sleep apnoea)</w:t>
            </w:r>
          </w:p>
        </w:tc>
        <w:tc>
          <w:tcPr>
            <w:tcW w:type="dxa" w:w="190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13.2%</w:t>
            </w:r>
          </w:p>
        </w:tc>
        <w:tc>
          <w:tcPr>
            <w:tcW w:type="dxa" w:w="496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Your addressable audience is wider than the weight-loss framing suggests.</w:t>
            </w:r>
          </w:p>
        </w:tc>
      </w:tr>
      <w:tr>
        <w:tc>
          <w:tcPr>
            <w:tcW w:type="dxa" w:w="2500"/>
            <w:shd w:fill="F5F8FA"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Share of weight lost that is lean tissue</w:t>
            </w:r>
          </w:p>
        </w:tc>
        <w:tc>
          <w:tcPr>
            <w:tcW w:type="dxa" w:w="190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25–45% depending on drug and trial</w:t>
            </w:r>
          </w:p>
        </w:tc>
        <w:tc>
          <w:tcPr>
            <w:tcW w:type="dxa" w:w="496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This is the wedge. Semaglutide substudies land near the top of that range; tirzepatide nearer the bottom.</w:t>
            </w:r>
          </w:p>
        </w:tc>
      </w:tr>
      <w:tr>
        <w:tc>
          <w:tcPr>
            <w:tcW w:type="dxa" w:w="2500"/>
            <w:shd w:fill="FFFFFF"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Lean mass decline in patients losing &gt;15% body weight</w:t>
            </w:r>
          </w:p>
        </w:tc>
        <w:tc>
          <w:tcPr>
            <w:tcW w:type="dxa" w:w="190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10–15%</w:t>
            </w:r>
          </w:p>
        </w:tc>
        <w:tc>
          <w:tcPr>
            <w:tcW w:type="dxa" w:w="496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The harder the drug works, the bigger your problem to solve.</w:t>
            </w:r>
          </w:p>
        </w:tc>
      </w:tr>
      <w:tr>
        <w:tc>
          <w:tcPr>
            <w:tcW w:type="dxa" w:w="2500"/>
            <w:shd w:fill="F5F8FA"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Effect of resistance training + adequate protein</w:t>
            </w:r>
          </w:p>
        </w:tc>
        <w:tc>
          <w:tcPr>
            <w:tcW w:type="dxa" w:w="190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Reduces lean-mass loss to near zero</w:t>
            </w:r>
          </w:p>
        </w:tc>
        <w:tc>
          <w:tcPr>
            <w:tcW w:type="dxa" w:w="496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The intervention works, it is well evidenced, and it is exactly what your product delivers.</w:t>
            </w:r>
          </w:p>
        </w:tc>
      </w:tr>
    </w:tbl>
    <w:p>
      <w:pPr>
        <w:spacing w:after="200"/>
      </w:pPr>
    </w:p>
    <w:p>
      <w:pPr>
        <w:pStyle w:val="Heading2"/>
        <w:spacing w:after="100" w:before="260"/>
      </w:pPr>
      <w:r>
        <w:rPr>
          <w:rFonts w:ascii="Calibri" w:cs="Calibri" w:eastAsia="Calibri" w:hAnsi="Calibri"/>
          <w:b/>
          <w:bCs/>
          <w:color w:val="3D6E8F"/>
          <w:sz w:val="24"/>
          <w:szCs w:val="24"/>
        </w:rPr>
        <w:t xml:space="preserve">Who the customer actually is</w:t>
      </w:r>
    </w:p>
    <w:p>
      <w:pPr>
        <w:spacing w:after="120" w:line="276"/>
      </w:pPr>
      <w:r>
        <w:rPr>
          <w:rFonts w:ascii="Calibri" w:cs="Calibri" w:eastAsia="Calibri" w:hAnsi="Calibri"/>
          <w:color w:val="222222"/>
          <w:sz w:val="21"/>
          <w:szCs w:val="21"/>
        </w:rPr>
        <w:t xml:space="preserve">The stereotype is wrong in ways that matter for creative. The GLP-1 population skews middle-aged and female, skews deconditioned, and is disproportionately intimidated by gyms. Most have never followed a lifting program. Many have been through several failed diet cycles and are wary of anything that smells like diet culture.</w:t>
      </w:r>
    </w:p>
    <w:p>
      <w:pPr>
        <w:pStyle w:val="Heading3"/>
        <w:spacing w:after="80" w:before="180"/>
      </w:pPr>
      <w:r>
        <w:rPr>
          <w:rFonts w:ascii="Calibri" w:cs="Calibri" w:eastAsia="Calibri" w:hAnsi="Calibri"/>
          <w:b/>
          <w:bCs/>
          <w:color w:val="222222"/>
          <w:sz w:val="21"/>
          <w:szCs w:val="21"/>
        </w:rPr>
        <w:t xml:space="preserve">The three practical pains, ranked</w:t>
      </w:r>
    </w:p>
    <w:p>
      <w:pPr>
        <w:pStyle w:val="ListParagraph"/>
        <w:numPr>
          <w:ilvl w:val="0"/>
          <w:numId w:val="3"/>
        </w:numPr>
        <w:spacing w:after="70" w:line="264"/>
      </w:pPr>
      <w:r>
        <w:rPr>
          <w:rFonts w:ascii="Calibri" w:cs="Calibri" w:eastAsia="Calibri" w:hAnsi="Calibri"/>
          <w:color w:val="222222"/>
          <w:sz w:val="21"/>
          <w:szCs w:val="21"/>
        </w:rPr>
        <w:t xml:space="preserve">"Am I losing muscle?" — This is the single most-discussed anxiety in GLP-1 communities. People see the scale drop, feel weaker, notice sagging, and do not know how to interpret it. They want reassurance and a plan.</w:t>
      </w:r>
    </w:p>
    <w:p>
      <w:pPr>
        <w:pStyle w:val="ListParagraph"/>
        <w:numPr>
          <w:ilvl w:val="0"/>
          <w:numId w:val="3"/>
        </w:numPr>
        <w:spacing w:after="70" w:line="264"/>
      </w:pPr>
      <w:r>
        <w:rPr>
          <w:rFonts w:ascii="Calibri" w:cs="Calibri" w:eastAsia="Calibri" w:hAnsi="Calibri"/>
          <w:color w:val="222222"/>
          <w:sz w:val="21"/>
          <w:szCs w:val="21"/>
        </w:rPr>
        <w:t xml:space="preserve">"I physically cannot eat enough protein." — Appetite suppression makes a 100–140 g protein target genuinely difficult, not merely inconvenient. This is an under-served, high-frequency, daily pain — and your Neutron module addresses it directly.</w:t>
      </w:r>
    </w:p>
    <w:p>
      <w:pPr>
        <w:pStyle w:val="ListParagraph"/>
        <w:numPr>
          <w:ilvl w:val="0"/>
          <w:numId w:val="3"/>
        </w:numPr>
        <w:spacing w:after="70" w:line="264"/>
      </w:pPr>
      <w:r>
        <w:rPr>
          <w:rFonts w:ascii="Calibri" w:cs="Calibri" w:eastAsia="Calibri" w:hAnsi="Calibri"/>
          <w:color w:val="222222"/>
          <w:sz w:val="21"/>
          <w:szCs w:val="21"/>
        </w:rPr>
        <w:t xml:space="preserve">"I do not know where to start and I am embarrassed." — They will not join a gym. They own a couple of dumbbells and a resistance band, or nothing at all. This is precisely what your equipment scan and Couch-to-Weights ramp were built for.</w:t>
      </w:r>
    </w:p>
    <w:p>
      <w:pPr>
        <w:spacing w:after="160"/>
      </w:pPr>
    </w:p>
    <w:tbl>
      <w:tblPr>
        <w:tblW w:type="dxa" w:w="9360"/>
        <w:tblBorders>
          <w:top w:val="single" w:color="3D6E8F" w:sz="4"/>
          <w:left w:val="single" w:color="3D6E8F" w:sz="24"/>
          <w:bottom w:val="single" w:color="3D6E8F" w:sz="4"/>
          <w:right w:val="single" w:color="3D6E8F" w:sz="4"/>
          <w:insideH w:val="none"/>
          <w:insideV w:val="none"/>
        </w:tblBorders>
      </w:tblPr>
      <w:tblGrid>
        <w:gridCol w:w="9360"/>
      </w:tblGrid>
      <w:tr>
        <w:tc>
          <w:tcPr>
            <w:tcW w:type="dxa" w:w="9360"/>
            <w:shd w:fill="EEF3F7" w:val="clear"/>
            <w:tcMar>
              <w:top w:type="dxa" w:w="160"/>
              <w:left w:type="dxa" w:w="200"/>
              <w:bottom w:type="dxa" w:w="160"/>
              <w:right w:type="dxa" w:w="200"/>
            </w:tcMar>
          </w:tcPr>
          <w:p>
            <w:pPr>
              <w:spacing w:after="80"/>
            </w:pPr>
            <w:r>
              <w:rPr>
                <w:rFonts w:ascii="Calibri" w:cs="Calibri" w:eastAsia="Calibri" w:hAnsi="Calibri"/>
                <w:b/>
                <w:bCs/>
                <w:color w:val="3D6E8F"/>
                <w:sz w:val="21"/>
                <w:szCs w:val="21"/>
              </w:rPr>
              <w:t xml:space="preserve">Your sharpest single asset is Couch-to-Weights</w:t>
            </w:r>
          </w:p>
          <w:p>
            <w:pPr>
              <w:spacing w:after="90" w:line="264"/>
            </w:pPr>
            <w:r>
              <w:rPr>
                <w:rFonts w:ascii="Calibri" w:cs="Calibri" w:eastAsia="Calibri" w:hAnsi="Calibri"/>
                <w:color w:val="333333"/>
                <w:sz w:val="20"/>
                <w:szCs w:val="20"/>
              </w:rPr>
              <w:t xml:space="preserve">One exercise. Week one. That is the whole ask.</w:t>
            </w:r>
          </w:p>
          <w:p>
            <w:pPr>
              <w:spacing w:after="0" w:line="264"/>
            </w:pPr>
            <w:r>
              <w:rPr>
                <w:rFonts w:ascii="Calibri" w:cs="Calibri" w:eastAsia="Calibri" w:hAnsi="Calibri"/>
                <w:color w:val="333333"/>
                <w:sz w:val="20"/>
                <w:szCs w:val="20"/>
              </w:rPr>
              <w:t xml:space="preserve">Nothing else in your product line is as well matched to this audience, and no competitor is leading with a beginner ramp that starts at a single movement. Make it the hero of the launch, not a feature bullet.</w:t>
            </w:r>
          </w:p>
        </w:tc>
      </w:tr>
    </w:tbl>
    <w:p>
      <w:r>
        <w:br w:type="page"/>
      </w:r>
    </w:p>
    <w:p>
      <w:pPr>
        <w:pStyle w:val="Heading1"/>
        <w:pBdr>
          <w:bottom w:val="single" w:color="3D6E8F" w:sz="8" w:space="6"/>
        </w:pBdr>
        <w:spacing w:after="160" w:before="360"/>
      </w:pPr>
      <w:r>
        <w:rPr>
          <w:rFonts w:ascii="Calibri" w:cs="Calibri" w:eastAsia="Calibri" w:hAnsi="Calibri"/>
          <w:b/>
          <w:bCs/>
          <w:color w:val="15304A"/>
          <w:sz w:val="30"/>
          <w:szCs w:val="30"/>
        </w:rPr>
        <w:t xml:space="preserve">4. Message architecture</w:t>
      </w:r>
    </w:p>
    <w:p>
      <w:pPr>
        <w:spacing w:after="120" w:line="276"/>
      </w:pPr>
      <w:r>
        <w:rPr>
          <w:rFonts w:ascii="Calibri" w:cs="Calibri" w:eastAsia="Calibri" w:hAnsi="Calibri"/>
          <w:color w:val="222222"/>
          <w:sz w:val="21"/>
          <w:szCs w:val="21"/>
        </w:rPr>
        <w:t xml:space="preserve">One primary claim, three supporting proofs, and a strict list of things never to say. Consistency across every channel matters more than cleverness in any one of them.</w:t>
      </w:r>
    </w:p>
    <w:p>
      <w:pPr>
        <w:pStyle w:val="Heading2"/>
        <w:spacing w:after="100" w:before="260"/>
      </w:pPr>
      <w:r>
        <w:rPr>
          <w:rFonts w:ascii="Calibri" w:cs="Calibri" w:eastAsia="Calibri" w:hAnsi="Calibri"/>
          <w:b/>
          <w:bCs/>
          <w:color w:val="3D6E8F"/>
          <w:sz w:val="24"/>
          <w:szCs w:val="24"/>
        </w:rPr>
        <w:t xml:space="preserve">Primary message</w:t>
      </w:r>
    </w:p>
    <w:tbl>
      <w:tblPr>
        <w:tblW w:type="dxa" w:w="9360"/>
        <w:tblBorders>
          <w:top w:val="single" w:color="C9D6E0" w:sz="2"/>
          <w:left w:val="single" w:color="C9D6E0" w:sz="2"/>
          <w:bottom w:val="single" w:color="C9D6E0" w:sz="2"/>
          <w:right w:val="single" w:color="C9D6E0" w:sz="2"/>
          <w:insideH w:val="none"/>
          <w:insideV w:val="none"/>
        </w:tblBorders>
      </w:tblPr>
      <w:tblGrid>
        <w:gridCol w:w="9360"/>
      </w:tblGrid>
      <w:tr>
        <w:tc>
          <w:tcPr>
            <w:tcW w:type="dxa" w:w="9360"/>
            <w:shd w:fill="FAFAF7" w:val="clear"/>
            <w:tcMar>
              <w:top w:type="dxa" w:w="150"/>
              <w:left w:type="dxa" w:w="180"/>
              <w:bottom w:type="dxa" w:w="150"/>
              <w:right w:type="dxa" w:w="180"/>
            </w:tcMar>
          </w:tcPr>
          <w:p>
            <w:pPr>
              <w:spacing w:after="100" w:line="264"/>
            </w:pPr>
            <w:r>
              <w:rPr>
                <w:rFonts w:ascii="Calibri" w:cs="Calibri" w:eastAsia="Calibri" w:hAnsi="Calibri"/>
                <w:i w:val="false"/>
                <w:iCs w:val="false"/>
                <w:color w:val="2B2B2B"/>
                <w:sz w:val="20"/>
                <w:szCs w:val="20"/>
              </w:rPr>
              <w:t xml:space="preserve">"The medication handles the fat. Nobody told you what happens to the muscle."</w:t>
            </w:r>
          </w:p>
          <w:p>
            <w:pPr>
              <w:spacing w:after="100" w:line="264"/>
            </w:pPr>
            <w:r>
              <w:rPr>
                <w:rFonts w:ascii="Calibri" w:cs="Calibri" w:eastAsia="Calibri" w:hAnsi="Calibri"/>
                <w:i w:val="false"/>
                <w:iCs w:val="false"/>
                <w:color w:val="2B2B2B"/>
                <w:sz w:val="20"/>
                <w:szCs w:val="20"/>
              </w:rPr>
              <w:t xml:space="preserve"/>
            </w:r>
          </w:p>
          <w:p>
            <w:pPr>
              <w:spacing w:after="0" w:line="264"/>
            </w:pPr>
            <w:r>
              <w:rPr>
                <w:rFonts w:ascii="Calibri" w:cs="Calibri" w:eastAsia="Calibri" w:hAnsi="Calibri"/>
                <w:i w:val="false"/>
                <w:iCs w:val="false"/>
                <w:color w:val="2B2B2B"/>
                <w:sz w:val="20"/>
                <w:szCs w:val="20"/>
              </w:rPr>
              <w:t xml:space="preserve">A quarter to nearly half of the weight lost on these medications can come from lean tissue. Resistance training and enough protein cuts that to near zero. GLP Steel builds the program — using the equipment you already own — and tracks the protein, so you finish this lighter and stronger instead of lighter and smaller.</w:t>
            </w:r>
          </w:p>
        </w:tc>
      </w:tr>
    </w:tbl>
    <w:p>
      <w:pPr>
        <w:spacing w:after="160"/>
      </w:pPr>
    </w:p>
    <w:p>
      <w:pPr>
        <w:pStyle w:val="Heading2"/>
        <w:spacing w:after="100" w:before="260"/>
      </w:pPr>
      <w:r>
        <w:rPr>
          <w:rFonts w:ascii="Calibri" w:cs="Calibri" w:eastAsia="Calibri" w:hAnsi="Calibri"/>
          <w:b/>
          <w:bCs/>
          <w:color w:val="3D6E8F"/>
          <w:sz w:val="24"/>
          <w:szCs w:val="24"/>
        </w:rPr>
        <w:t xml:space="preserve">Supporting proofs — use these, in this order</w:t>
      </w:r>
    </w:p>
    <w:tbl>
      <w:tblPr>
        <w:tblW w:type="dxa" w:w="9360"/>
        <w:tblBorders>
          <w:top w:val="single" w:color="C9D6E0" w:sz="2"/>
          <w:left w:val="single" w:color="C9D6E0" w:sz="2"/>
          <w:bottom w:val="single" w:color="C9D6E0" w:sz="2"/>
          <w:right w:val="single" w:color="C9D6E0" w:sz="2"/>
          <w:insideH w:val="single" w:color="D9E2E9" w:sz="2"/>
          <w:insideV w:val="single" w:color="D9E2E9" w:sz="2"/>
        </w:tblBorders>
      </w:tblPr>
      <w:tblGrid>
        <w:gridCol w:w="1900"/>
        <w:gridCol w:w="4000"/>
        <w:gridCol w:w="3460"/>
      </w:tblGrid>
      <w:tr>
        <w:trPr>
          <w:tblHeader/>
        </w:trPr>
        <w:tc>
          <w:tcPr>
            <w:tcW w:type="dxa" w:w="1900"/>
            <w:shd w:fill="15304A"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Proof</w:t>
            </w:r>
          </w:p>
        </w:tc>
        <w:tc>
          <w:tcPr>
            <w:tcW w:type="dxa" w:w="4000"/>
            <w:shd w:fill="15304A"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The line</w:t>
            </w:r>
          </w:p>
        </w:tc>
        <w:tc>
          <w:tcPr>
            <w:tcW w:type="dxa" w:w="3460"/>
            <w:shd w:fill="15304A"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Where it lands hardest</w:t>
            </w:r>
          </w:p>
        </w:tc>
      </w:tr>
      <w:tr>
        <w:tc>
          <w:tcPr>
            <w:tcW w:type="dxa" w:w="1900"/>
            <w:shd w:fill="FFFFFF"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Scan your equipment</w:t>
            </w:r>
          </w:p>
        </w:tc>
        <w:tc>
          <w:tcPr>
            <w:tcW w:type="dxa" w:w="400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"Photograph whatever you own. Two dumbbells and a couch is a program."</w:t>
            </w:r>
          </w:p>
        </w:tc>
        <w:tc>
          <w:tcPr>
            <w:tcW w:type="dxa" w:w="346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Social video — it is visually distinctive and instantly demonstrable in 15 seconds.</w:t>
            </w:r>
          </w:p>
        </w:tc>
      </w:tr>
      <w:tr>
        <w:tc>
          <w:tcPr>
            <w:tcW w:type="dxa" w:w="1900"/>
            <w:shd w:fill="F5F8FA"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Start at one exercise</w:t>
            </w:r>
          </w:p>
        </w:tc>
        <w:tc>
          <w:tcPr>
            <w:tcW w:type="dxa" w:w="400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"Week one is one exercise. We add one a week for six weeks."</w:t>
            </w:r>
          </w:p>
        </w:tc>
        <w:tc>
          <w:tcPr>
            <w:tcW w:type="dxa" w:w="346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Everywhere. This is the objection-killer for the deconditioned majority.</w:t>
            </w:r>
          </w:p>
        </w:tc>
      </w:tr>
      <w:tr>
        <w:tc>
          <w:tcPr>
            <w:tcW w:type="dxa" w:w="1900"/>
            <w:shd w:fill="FFFFFF"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Protein you can actually hit</w:t>
            </w:r>
          </w:p>
        </w:tc>
        <w:tc>
          <w:tcPr>
            <w:tcW w:type="dxa" w:w="400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"Say what you ate. We count the protein. Built for days when you can barely eat."</w:t>
            </w:r>
          </w:p>
        </w:tc>
        <w:tc>
          <w:tcPr>
            <w:tcW w:type="dxa" w:w="346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Community posts and provider conversations — dietitians care about this most.</w:t>
            </w:r>
          </w:p>
        </w:tc>
      </w:tr>
      <w:tr>
        <w:tc>
          <w:tcPr>
            <w:tcW w:type="dxa" w:w="1900"/>
            <w:shd w:fill="F5F8FA"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Progress that is not the scale</w:t>
            </w:r>
          </w:p>
        </w:tc>
        <w:tc>
          <w:tcPr>
            <w:tcW w:type="dxa" w:w="400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"Your first pull-up matters more than your third pound."</w:t>
            </w:r>
          </w:p>
        </w:tc>
        <w:tc>
          <w:tcPr>
            <w:tcW w:type="dxa" w:w="346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Retention content and testimonials. Keeps you out of diet-culture territory.</w:t>
            </w:r>
          </w:p>
        </w:tc>
      </w:tr>
    </w:tbl>
    <w:p>
      <w:pPr>
        <w:spacing w:after="200"/>
      </w:pPr>
    </w:p>
    <w:p>
      <w:pPr>
        <w:pStyle w:val="Heading2"/>
        <w:spacing w:after="100" w:before="260"/>
      </w:pPr>
      <w:r>
        <w:rPr>
          <w:rFonts w:ascii="Calibri" w:cs="Calibri" w:eastAsia="Calibri" w:hAnsi="Calibri"/>
          <w:b/>
          <w:bCs/>
          <w:color w:val="3D6E8F"/>
          <w:sz w:val="24"/>
          <w:szCs w:val="24"/>
        </w:rPr>
        <w:t xml:space="preserve">The never-say list</w:t>
      </w:r>
    </w:p>
    <w:p>
      <w:pPr>
        <w:spacing w:after="120" w:line="276"/>
      </w:pPr>
      <w:r>
        <w:rPr>
          <w:rFonts w:ascii="Calibri" w:cs="Calibri" w:eastAsia="Calibri" w:hAnsi="Calibri"/>
          <w:i/>
          <w:iCs/>
          <w:color w:val="222222"/>
          <w:sz w:val="21"/>
          <w:szCs w:val="21"/>
        </w:rPr>
        <w:t xml:space="preserve">Treat this as binding on every asset, including organic posts and replies. Violations here cost you ad accounts, App Store review, and provider trust — in that order of likelihood.</w:t>
      </w:r>
    </w:p>
    <w:p>
      <w:pPr>
        <w:pStyle w:val="ListParagraph"/>
        <w:numPr>
          <w:ilvl w:val="0"/>
          <w:numId w:val="2"/>
        </w:numPr>
        <w:spacing w:after="70" w:line="264"/>
      </w:pPr>
      <w:r>
        <w:rPr>
          <w:rFonts w:ascii="Calibri" w:cs="Calibri" w:eastAsia="Calibri" w:hAnsi="Calibri"/>
          <w:color w:val="222222"/>
          <w:sz w:val="21"/>
          <w:szCs w:val="21"/>
        </w:rPr>
        <w:t xml:space="preserve">Never claim the app causes, accelerates, or guarantees weight loss.</w:t>
      </w:r>
    </w:p>
    <w:p>
      <w:pPr>
        <w:pStyle w:val="ListParagraph"/>
        <w:numPr>
          <w:ilvl w:val="0"/>
          <w:numId w:val="2"/>
        </w:numPr>
        <w:spacing w:after="70" w:line="264"/>
      </w:pPr>
      <w:r>
        <w:rPr>
          <w:rFonts w:ascii="Calibri" w:cs="Calibri" w:eastAsia="Calibri" w:hAnsi="Calibri"/>
          <w:color w:val="222222"/>
          <w:sz w:val="21"/>
          <w:szCs w:val="21"/>
        </w:rPr>
        <w:t xml:space="preserve">Never imply affiliation with, or endorsement by, Novo Nordisk, Eli Lilly, or any drug brand. Do not put Ozempic, Wegovy, Zepbound, Mounjaro or Trulicity in paid ad creative.</w:t>
      </w:r>
    </w:p>
    <w:p>
      <w:pPr>
        <w:pStyle w:val="ListParagraph"/>
        <w:numPr>
          <w:ilvl w:val="0"/>
          <w:numId w:val="2"/>
        </w:numPr>
        <w:spacing w:after="70" w:line="264"/>
      </w:pPr>
      <w:r>
        <w:rPr>
          <w:rFonts w:ascii="Calibri" w:cs="Calibri" w:eastAsia="Calibri" w:hAnsi="Calibri"/>
          <w:color w:val="222222"/>
          <w:sz w:val="21"/>
          <w:szCs w:val="21"/>
        </w:rPr>
        <w:t xml:space="preserve">Never give dosing, titration, or "how to get a prescription" guidance. The app does not advise on medication and should say so in plain language.</w:t>
      </w:r>
    </w:p>
    <w:p>
      <w:pPr>
        <w:pStyle w:val="ListParagraph"/>
        <w:numPr>
          <w:ilvl w:val="0"/>
          <w:numId w:val="2"/>
        </w:numPr>
        <w:spacing w:after="70" w:line="264"/>
      </w:pPr>
      <w:r>
        <w:rPr>
          <w:rFonts w:ascii="Calibri" w:cs="Calibri" w:eastAsia="Calibri" w:hAnsi="Calibri"/>
          <w:color w:val="222222"/>
          <w:sz w:val="21"/>
          <w:szCs w:val="21"/>
        </w:rPr>
        <w:t xml:space="preserve">Never use before/after body photos. Meta relaxed this rule in July 2026, but using it would undercut the entire strength-not-shrinkage position. Show a bar loaded heavier instead.</w:t>
      </w:r>
    </w:p>
    <w:p>
      <w:pPr>
        <w:pStyle w:val="ListParagraph"/>
        <w:numPr>
          <w:ilvl w:val="0"/>
          <w:numId w:val="2"/>
        </w:numPr>
        <w:spacing w:after="70" w:line="264"/>
      </w:pPr>
      <w:r>
        <w:rPr>
          <w:rFonts w:ascii="Calibri" w:cs="Calibri" w:eastAsia="Calibri" w:hAnsi="Calibri"/>
          <w:color w:val="222222"/>
          <w:sz w:val="21"/>
          <w:szCs w:val="21"/>
        </w:rPr>
        <w:t xml:space="preserve">Never source, endorse, review, discount, or accept sponsorship from a gray-market peptide seller. See Section 7.3 — this is the fastest way to destroy the provider channel.</w:t>
      </w:r>
    </w:p>
    <w:p>
      <w:pPr>
        <w:pStyle w:val="ListParagraph"/>
        <w:numPr>
          <w:ilvl w:val="0"/>
          <w:numId w:val="2"/>
        </w:numPr>
        <w:spacing w:after="70" w:line="264"/>
      </w:pPr>
      <w:r>
        <w:rPr>
          <w:rFonts w:ascii="Calibri" w:cs="Calibri" w:eastAsia="Calibri" w:hAnsi="Calibri"/>
          <w:color w:val="222222"/>
          <w:sz w:val="21"/>
          <w:szCs w:val="21"/>
        </w:rPr>
        <w:t xml:space="preserve">Never suggest resistance training is a substitute for medical care or for the medication.</w:t>
      </w:r>
    </w:p>
    <w:p>
      <w:r>
        <w:br w:type="page"/>
      </w:r>
    </w:p>
    <w:p>
      <w:pPr>
        <w:pStyle w:val="Heading1"/>
        <w:pBdr>
          <w:bottom w:val="single" w:color="3D6E8F" w:sz="8" w:space="6"/>
        </w:pBdr>
        <w:spacing w:after="160" w:before="360"/>
      </w:pPr>
      <w:r>
        <w:rPr>
          <w:rFonts w:ascii="Calibri" w:cs="Calibri" w:eastAsia="Calibri" w:hAnsi="Calibri"/>
          <w:b/>
          <w:bCs/>
          <w:color w:val="15304A"/>
          <w:sz w:val="30"/>
          <w:szCs w:val="30"/>
        </w:rPr>
        <w:t xml:space="preserve">5. Channel one — social media and communities</w:t>
      </w:r>
    </w:p>
    <w:p>
      <w:pPr>
        <w:spacing w:after="120" w:line="276"/>
      </w:pPr>
      <w:r>
        <w:rPr>
          <w:rFonts w:ascii="Calibri" w:cs="Calibri" w:eastAsia="Calibri" w:hAnsi="Calibri"/>
          <w:color w:val="222222"/>
          <w:sz w:val="21"/>
          <w:szCs w:val="21"/>
        </w:rPr>
        <w:t xml:space="preserve">At a bootstrapped budget the winning play is not paid social. It is showing up daily where this audience already asks the exact question your product answers. Two content platforms and four community platforms — no more, or the posting cadence collapses.</w:t>
      </w:r>
    </w:p>
    <w:p>
      <w:pPr>
        <w:pStyle w:val="Heading2"/>
        <w:spacing w:after="100" w:before="260"/>
      </w:pPr>
      <w:r>
        <w:rPr>
          <w:rFonts w:ascii="Calibri" w:cs="Calibri" w:eastAsia="Calibri" w:hAnsi="Calibri"/>
          <w:b/>
          <w:bCs/>
          <w:color w:val="3D6E8F"/>
          <w:sz w:val="24"/>
          <w:szCs w:val="24"/>
        </w:rPr>
        <w:t xml:space="preserve">5.1 Where to be, and where not to bother</w:t>
      </w:r>
    </w:p>
    <w:tbl>
      <w:tblPr>
        <w:tblW w:type="dxa" w:w="9360"/>
        <w:tblBorders>
          <w:top w:val="single" w:color="C9D6E0" w:sz="2"/>
          <w:left w:val="single" w:color="C9D6E0" w:sz="2"/>
          <w:bottom w:val="single" w:color="C9D6E0" w:sz="2"/>
          <w:right w:val="single" w:color="C9D6E0" w:sz="2"/>
          <w:insideH w:val="single" w:color="D9E2E9" w:sz="2"/>
          <w:insideV w:val="single" w:color="D9E2E9" w:sz="2"/>
        </w:tblBorders>
      </w:tblPr>
      <w:tblGrid>
        <w:gridCol w:w="1800"/>
        <w:gridCol w:w="1200"/>
        <w:gridCol w:w="6360"/>
      </w:tblGrid>
      <w:tr>
        <w:trPr>
          <w:tblHeader/>
        </w:trPr>
        <w:tc>
          <w:tcPr>
            <w:tcW w:type="dxa" w:w="1800"/>
            <w:shd w:fill="15304A"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Platform</w:t>
            </w:r>
          </w:p>
        </w:tc>
        <w:tc>
          <w:tcPr>
            <w:tcW w:type="dxa" w:w="1200"/>
            <w:shd w:fill="15304A"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Priority</w:t>
            </w:r>
          </w:p>
        </w:tc>
        <w:tc>
          <w:tcPr>
            <w:tcW w:type="dxa" w:w="6360"/>
            <w:shd w:fill="15304A"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How to use it</w:t>
            </w:r>
          </w:p>
        </w:tc>
      </w:tr>
      <w:tr>
        <w:tc>
          <w:tcPr>
            <w:tcW w:type="dxa" w:w="1800"/>
            <w:shd w:fill="FFFFFF"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Facebook groups</w:t>
            </w:r>
          </w:p>
        </w:tc>
        <w:tc>
          <w:tcPr>
            <w:tcW w:type="dxa" w:w="120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HIGHEST</w:t>
            </w:r>
          </w:p>
        </w:tc>
        <w:tc>
          <w:tcPr>
            <w:tcW w:type="dxa" w:w="636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This is where the GLP-1 demographic actually lives — large private groups, 40–60 year-old skew, very high engagement. Join 8–10. Answer muscle and protein questions with real substance. Never link in a first reply.</w:t>
            </w:r>
          </w:p>
        </w:tc>
      </w:tr>
      <w:tr>
        <w:tc>
          <w:tcPr>
            <w:tcW w:type="dxa" w:w="1800"/>
            <w:shd w:fill="F5F8FA"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Reddit</w:t>
            </w:r>
          </w:p>
        </w:tc>
        <w:tc>
          <w:tcPr>
            <w:tcW w:type="dxa" w:w="120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HIGHEST</w:t>
            </w:r>
          </w:p>
        </w:tc>
        <w:tc>
          <w:tcPr>
            <w:tcW w:type="dxa" w:w="636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r/GLP1, r/Semaglutide, r/tirzepatide, r/Mounjaro, r/Ozempic, plus the retatrutide subs. Highest-quality intent on the internet for this problem. Mods ban self-promotion hard, so earn standing for 60 days before you mention the app once.</w:t>
            </w:r>
          </w:p>
        </w:tc>
      </w:tr>
      <w:tr>
        <w:tc>
          <w:tcPr>
            <w:tcW w:type="dxa" w:w="1800"/>
            <w:shd w:fill="FFFFFF"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TikTok + Instagram Reels</w:t>
            </w:r>
          </w:p>
        </w:tc>
        <w:tc>
          <w:tcPr>
            <w:tcW w:type="dxa" w:w="120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HIGH</w:t>
            </w:r>
          </w:p>
        </w:tc>
        <w:tc>
          <w:tcPr>
            <w:tcW w:type="dxa" w:w="636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Same vertical asset posted to both. Aim for one per day, 20–40 seconds. Equipment-scan demos and "week one is one exercise" are the formats to test first.</w:t>
            </w:r>
          </w:p>
        </w:tc>
      </w:tr>
      <w:tr>
        <w:tc>
          <w:tcPr>
            <w:tcW w:type="dxa" w:w="1800"/>
            <w:shd w:fill="F5F8FA"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YouTube</w:t>
            </w:r>
          </w:p>
        </w:tc>
        <w:tc>
          <w:tcPr>
            <w:tcW w:type="dxa" w:w="120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MEDIUM</w:t>
            </w:r>
          </w:p>
        </w:tc>
        <w:tc>
          <w:tcPr>
            <w:tcW w:type="dxa" w:w="636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One long-form video per week. This is not an acquisition channel early — it is the credibility asset you send to a physician who Googles you before agreeing to a meeting.</w:t>
            </w:r>
          </w:p>
        </w:tc>
      </w:tr>
      <w:tr>
        <w:tc>
          <w:tcPr>
            <w:tcW w:type="dxa" w:w="1800"/>
            <w:shd w:fill="FFFFFF"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LinkedIn</w:t>
            </w:r>
          </w:p>
        </w:tc>
        <w:tc>
          <w:tcPr>
            <w:tcW w:type="dxa" w:w="120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MEDIUM</w:t>
            </w:r>
          </w:p>
        </w:tc>
        <w:tc>
          <w:tcPr>
            <w:tcW w:type="dxa" w:w="636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Not for patients. This is your prescriber-outreach channel. See Section 6.</w:t>
            </w:r>
          </w:p>
        </w:tc>
      </w:tr>
      <w:tr>
        <w:tc>
          <w:tcPr>
            <w:tcW w:type="dxa" w:w="1800"/>
            <w:shd w:fill="F5F8FA"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X / Threads / Pinterest</w:t>
            </w:r>
          </w:p>
        </w:tc>
        <w:tc>
          <w:tcPr>
            <w:tcW w:type="dxa" w:w="120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SKIP</w:t>
            </w:r>
          </w:p>
        </w:tc>
        <w:tc>
          <w:tcPr>
            <w:tcW w:type="dxa" w:w="636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Do not spread yourself thinner. Revisit after you have one channel working.</w:t>
            </w:r>
          </w:p>
        </w:tc>
      </w:tr>
    </w:tbl>
    <w:p>
      <w:pPr>
        <w:spacing w:after="200"/>
      </w:pPr>
    </w:p>
    <w:p>
      <w:pPr>
        <w:pStyle w:val="Heading2"/>
        <w:spacing w:after="100" w:before="260"/>
      </w:pPr>
      <w:r>
        <w:rPr>
          <w:rFonts w:ascii="Calibri" w:cs="Calibri" w:eastAsia="Calibri" w:hAnsi="Calibri"/>
          <w:b/>
          <w:bCs/>
          <w:color w:val="3D6E8F"/>
          <w:sz w:val="24"/>
          <w:szCs w:val="24"/>
        </w:rPr>
        <w:t xml:space="preserve">5.2 Content pillars</w:t>
      </w:r>
    </w:p>
    <w:p>
      <w:pPr>
        <w:spacing w:after="120" w:line="276"/>
      </w:pPr>
      <w:r>
        <w:rPr>
          <w:rFonts w:ascii="Calibri" w:cs="Calibri" w:eastAsia="Calibri" w:hAnsi="Calibri"/>
          <w:color w:val="222222"/>
          <w:sz w:val="21"/>
          <w:szCs w:val="21"/>
        </w:rPr>
        <w:t xml:space="preserve">Rotate these five. Roughly 70% education, 20% product demonstration, 10% member proof.</w:t>
      </w:r>
    </w:p>
    <w:p>
      <w:pPr>
        <w:pStyle w:val="ListParagraph"/>
        <w:numPr>
          <w:ilvl w:val="0"/>
          <w:numId w:val="2"/>
        </w:numPr>
        <w:spacing w:after="70" w:line="264"/>
      </w:pPr>
      <w:r>
        <w:rPr>
          <w:rFonts w:ascii="Calibri" w:cs="Calibri" w:eastAsia="Calibri" w:hAnsi="Calibri"/>
          <w:b/>
          <w:bCs/>
          <w:color w:val="15304A"/>
          <w:sz w:val="21"/>
          <w:szCs w:val="21"/>
        </w:rPr>
        <w:t xml:space="preserve">Pillar 1 — The muscle story, explained simply. </w:t>
      </w:r>
      <w:r>
        <w:rPr>
          <w:rFonts w:ascii="Calibri" w:cs="Calibri" w:eastAsia="Calibri" w:hAnsi="Calibri"/>
          <w:color w:val="222222"/>
          <w:sz w:val="21"/>
          <w:szCs w:val="21"/>
        </w:rPr>
        <w:t xml:space="preserve">"What the scale is not telling you." Short, calm, non-alarmist explanations of lean-mass loss and what actually prevents it. This pillar carries the strategy; make it your best work.</w:t>
      </w:r>
    </w:p>
    <w:p>
      <w:pPr>
        <w:pStyle w:val="ListParagraph"/>
        <w:numPr>
          <w:ilvl w:val="0"/>
          <w:numId w:val="2"/>
        </w:numPr>
        <w:spacing w:after="70" w:line="264"/>
      </w:pPr>
      <w:r>
        <w:rPr>
          <w:rFonts w:ascii="Calibri" w:cs="Calibri" w:eastAsia="Calibri" w:hAnsi="Calibri"/>
          <w:b/>
          <w:bCs/>
          <w:color w:val="15304A"/>
          <w:sz w:val="21"/>
          <w:szCs w:val="21"/>
        </w:rPr>
        <w:t xml:space="preserve">Pillar 2 — Week one for someone who has never lifted. </w:t>
      </w:r>
      <w:r>
        <w:rPr>
          <w:rFonts w:ascii="Calibri" w:cs="Calibri" w:eastAsia="Calibri" w:hAnsi="Calibri"/>
          <w:color w:val="222222"/>
          <w:sz w:val="21"/>
          <w:szCs w:val="21"/>
        </w:rPr>
        <w:t xml:space="preserve">Film the actual Couch-to-Weights first session. One exercise, done badly, then done better. The permission to be a beginner is the product.</w:t>
      </w:r>
    </w:p>
    <w:p>
      <w:pPr>
        <w:pStyle w:val="ListParagraph"/>
        <w:numPr>
          <w:ilvl w:val="0"/>
          <w:numId w:val="2"/>
        </w:numPr>
        <w:spacing w:after="70" w:line="264"/>
      </w:pPr>
      <w:r>
        <w:rPr>
          <w:rFonts w:ascii="Calibri" w:cs="Calibri" w:eastAsia="Calibri" w:hAnsi="Calibri"/>
          <w:b/>
          <w:bCs/>
          <w:color w:val="15304A"/>
          <w:sz w:val="21"/>
          <w:szCs w:val="21"/>
        </w:rPr>
        <w:t xml:space="preserve">Pillar 3 — Protein when you cannot eat. </w:t>
      </w:r>
      <w:r>
        <w:rPr>
          <w:rFonts w:ascii="Calibri" w:cs="Calibri" w:eastAsia="Calibri" w:hAnsi="Calibri"/>
          <w:color w:val="222222"/>
          <w:sz w:val="21"/>
          <w:szCs w:val="21"/>
        </w:rPr>
        <w:t xml:space="preserve">Practical, tested tactics for hitting 100–140 g on a suppressed appetite. Highest-saving, highest-sharing content you will make.</w:t>
      </w:r>
    </w:p>
    <w:p>
      <w:pPr>
        <w:pStyle w:val="ListParagraph"/>
        <w:numPr>
          <w:ilvl w:val="0"/>
          <w:numId w:val="2"/>
        </w:numPr>
        <w:spacing w:after="70" w:line="264"/>
      </w:pPr>
      <w:r>
        <w:rPr>
          <w:rFonts w:ascii="Calibri" w:cs="Calibri" w:eastAsia="Calibri" w:hAnsi="Calibri"/>
          <w:b/>
          <w:bCs/>
          <w:color w:val="15304A"/>
          <w:sz w:val="21"/>
          <w:szCs w:val="21"/>
        </w:rPr>
        <w:t xml:space="preserve">Pillar 4 — The scan. </w:t>
      </w:r>
      <w:r>
        <w:rPr>
          <w:rFonts w:ascii="Calibri" w:cs="Calibri" w:eastAsia="Calibri" w:hAnsi="Calibri"/>
          <w:color w:val="222222"/>
          <w:sz w:val="21"/>
          <w:szCs w:val="21"/>
        </w:rPr>
        <w:t xml:space="preserve">Point the phone at a garage, a spare room, a hotel gym, a literal cupboard. Program appears. This is your most demonstrable moment — treat it as a repeatable format, not a one-off.</w:t>
      </w:r>
    </w:p>
    <w:p>
      <w:pPr>
        <w:pStyle w:val="ListParagraph"/>
        <w:numPr>
          <w:ilvl w:val="0"/>
          <w:numId w:val="2"/>
        </w:numPr>
        <w:spacing w:after="70" w:line="264"/>
      </w:pPr>
      <w:r>
        <w:rPr>
          <w:rFonts w:ascii="Calibri" w:cs="Calibri" w:eastAsia="Calibri" w:hAnsi="Calibri"/>
          <w:b/>
          <w:bCs/>
          <w:color w:val="15304A"/>
          <w:sz w:val="21"/>
          <w:szCs w:val="21"/>
        </w:rPr>
        <w:t xml:space="preserve">Pillar 5 — Strength proof, never scale proof. </w:t>
      </w:r>
      <w:r>
        <w:rPr>
          <w:rFonts w:ascii="Calibri" w:cs="Calibri" w:eastAsia="Calibri" w:hAnsi="Calibri"/>
          <w:color w:val="222222"/>
          <w:sz w:val="21"/>
          <w:szCs w:val="21"/>
        </w:rPr>
        <w:t xml:space="preserve">First push-up. First unassisted chair stand. Went from 5 lb to 15 lb. Show the badge and the PR card, never the body comparison.</w:t>
      </w:r>
    </w:p>
    <w:p>
      <w:pPr>
        <w:spacing w:after="160"/>
      </w:pPr>
    </w:p>
    <w:p>
      <w:pPr>
        <w:pStyle w:val="Heading2"/>
        <w:spacing w:after="100" w:before="260"/>
      </w:pPr>
      <w:r>
        <w:rPr>
          <w:rFonts w:ascii="Calibri" w:cs="Calibri" w:eastAsia="Calibri" w:hAnsi="Calibri"/>
          <w:b/>
          <w:bCs/>
          <w:color w:val="3D6E8F"/>
          <w:sz w:val="24"/>
          <w:szCs w:val="24"/>
        </w:rPr>
        <w:t xml:space="preserve">5.3 Hooks worth testing first</w:t>
      </w:r>
    </w:p>
    <w:tbl>
      <w:tblPr>
        <w:tblW w:type="dxa" w:w="9360"/>
        <w:tblBorders>
          <w:top w:val="single" w:color="C9D6E0" w:sz="2"/>
          <w:left w:val="single" w:color="C9D6E0" w:sz="2"/>
          <w:bottom w:val="single" w:color="C9D6E0" w:sz="2"/>
          <w:right w:val="single" w:color="C9D6E0" w:sz="2"/>
          <w:insideH w:val="none"/>
          <w:insideV w:val="none"/>
        </w:tblBorders>
      </w:tblPr>
      <w:tblGrid>
        <w:gridCol w:w="9360"/>
      </w:tblGrid>
      <w:tr>
        <w:tc>
          <w:tcPr>
            <w:tcW w:type="dxa" w:w="9360"/>
            <w:shd w:fill="FAFAF7" w:val="clear"/>
            <w:tcMar>
              <w:top w:type="dxa" w:w="150"/>
              <w:left w:type="dxa" w:w="180"/>
              <w:bottom w:type="dxa" w:w="150"/>
              <w:right w:type="dxa" w:w="180"/>
            </w:tcMar>
          </w:tcPr>
          <w:p>
            <w:pPr>
              <w:spacing w:after="100" w:line="264"/>
            </w:pPr>
            <w:r>
              <w:rPr>
                <w:rFonts w:ascii="Calibri" w:cs="Calibri" w:eastAsia="Calibri" w:hAnsi="Calibri"/>
                <w:i w:val="false"/>
                <w:iCs w:val="false"/>
                <w:color w:val="2B2B2B"/>
                <w:sz w:val="20"/>
                <w:szCs w:val="20"/>
              </w:rPr>
              <w:t xml:space="preserve">"Up to 40% of what you are losing on that shot is not fat."</w:t>
            </w:r>
          </w:p>
          <w:p>
            <w:pPr>
              <w:spacing w:after="100" w:line="264"/>
            </w:pPr>
            <w:r>
              <w:rPr>
                <w:rFonts w:ascii="Calibri" w:cs="Calibri" w:eastAsia="Calibri" w:hAnsi="Calibri"/>
                <w:i w:val="false"/>
                <w:iCs w:val="false"/>
                <w:color w:val="2B2B2B"/>
                <w:sz w:val="20"/>
                <w:szCs w:val="20"/>
              </w:rPr>
              <w:t xml:space="preserve">"You are not weak because you are lazy. You are weak because you are in a deficit and nobody gave you a program."</w:t>
            </w:r>
          </w:p>
          <w:p>
            <w:pPr>
              <w:spacing w:after="100" w:line="264"/>
            </w:pPr>
            <w:r>
              <w:rPr>
                <w:rFonts w:ascii="Calibri" w:cs="Calibri" w:eastAsia="Calibri" w:hAnsi="Calibri"/>
                <w:i w:val="false"/>
                <w:iCs w:val="false"/>
                <w:color w:val="2B2B2B"/>
                <w:sz w:val="20"/>
                <w:szCs w:val="20"/>
              </w:rPr>
              <w:t xml:space="preserve">"Show me your equipment. I will build the program." (film the scan)</w:t>
            </w:r>
          </w:p>
          <w:p>
            <w:pPr>
              <w:spacing w:after="100" w:line="264"/>
            </w:pPr>
            <w:r>
              <w:rPr>
                <w:rFonts w:ascii="Calibri" w:cs="Calibri" w:eastAsia="Calibri" w:hAnsi="Calibri"/>
                <w:i w:val="false"/>
                <w:iCs w:val="false"/>
                <w:color w:val="2B2B2B"/>
                <w:sz w:val="20"/>
                <w:szCs w:val="20"/>
              </w:rPr>
              <w:t xml:space="preserve">"Week one is one exercise. That is the whole workout. Yes, really."</w:t>
            </w:r>
          </w:p>
          <w:p>
            <w:pPr>
              <w:spacing w:after="100" w:line="264"/>
            </w:pPr>
            <w:r>
              <w:rPr>
                <w:rFonts w:ascii="Calibri" w:cs="Calibri" w:eastAsia="Calibri" w:hAnsi="Calibri"/>
                <w:i w:val="false"/>
                <w:iCs w:val="false"/>
                <w:color w:val="2B2B2B"/>
                <w:sz w:val="20"/>
                <w:szCs w:val="20"/>
              </w:rPr>
              <w:t xml:space="preserve">"If you can barely eat, hitting 120 g of protein is a logistics problem, not a willpower problem."</w:t>
            </w:r>
          </w:p>
          <w:p>
            <w:pPr>
              <w:spacing w:after="0" w:line="264"/>
            </w:pPr>
            <w:r>
              <w:rPr>
                <w:rFonts w:ascii="Calibri" w:cs="Calibri" w:eastAsia="Calibri" w:hAnsi="Calibri"/>
                <w:i w:val="false"/>
                <w:iCs w:val="false"/>
                <w:color w:val="2B2B2B"/>
                <w:sz w:val="20"/>
                <w:szCs w:val="20"/>
              </w:rPr>
              <w:t xml:space="preserve">"Everyone is talking about retatrutide. Nobody is talking about what it does to lean mass."</w:t>
            </w:r>
          </w:p>
        </w:tc>
      </w:tr>
    </w:tbl>
    <w:p>
      <w:pPr>
        <w:spacing w:after="160"/>
      </w:pPr>
    </w:p>
    <w:p>
      <w:pPr>
        <w:pStyle w:val="Heading2"/>
        <w:spacing w:after="100" w:before="260"/>
      </w:pPr>
      <w:r>
        <w:rPr>
          <w:rFonts w:ascii="Calibri" w:cs="Calibri" w:eastAsia="Calibri" w:hAnsi="Calibri"/>
          <w:b/>
          <w:bCs/>
          <w:color w:val="3D6E8F"/>
          <w:sz w:val="24"/>
          <w:szCs w:val="24"/>
        </w:rPr>
        <w:t xml:space="preserve">5.4 Creators, without a budget</w:t>
      </w:r>
    </w:p>
    <w:p>
      <w:pPr>
        <w:spacing w:after="120" w:line="276"/>
      </w:pPr>
      <w:r>
        <w:rPr>
          <w:rFonts w:ascii="Calibri" w:cs="Calibri" w:eastAsia="Calibri" w:hAnsi="Calibri"/>
          <w:color w:val="222222"/>
          <w:sz w:val="21"/>
          <w:szCs w:val="21"/>
        </w:rPr>
        <w:t xml:space="preserve">Do not pay for posts. At your stage that spends cash on reach you cannot convert. Do this instead:</w:t>
      </w:r>
    </w:p>
    <w:p>
      <w:pPr>
        <w:pStyle w:val="ListParagraph"/>
        <w:numPr>
          <w:ilvl w:val="0"/>
          <w:numId w:val="3"/>
        </w:numPr>
        <w:spacing w:after="70" w:line="264"/>
      </w:pPr>
      <w:r>
        <w:rPr>
          <w:rFonts w:ascii="Calibri" w:cs="Calibri" w:eastAsia="Calibri" w:hAnsi="Calibri"/>
          <w:color w:val="222222"/>
          <w:sz w:val="21"/>
          <w:szCs w:val="21"/>
        </w:rPr>
        <w:t xml:space="preserve">Build a list of 30 micro-creators (2,000–25,000 followers) already documenting their own GLP-1 journey. Smaller is better — engagement is higher and they are actually reachable.</w:t>
      </w:r>
    </w:p>
    <w:p>
      <w:pPr>
        <w:pStyle w:val="ListParagraph"/>
        <w:numPr>
          <w:ilvl w:val="0"/>
          <w:numId w:val="3"/>
        </w:numPr>
        <w:spacing w:after="70" w:line="264"/>
      </w:pPr>
      <w:r>
        <w:rPr>
          <w:rFonts w:ascii="Calibri" w:cs="Calibri" w:eastAsia="Calibri" w:hAnsi="Calibri"/>
          <w:color w:val="222222"/>
          <w:sz w:val="21"/>
          <w:szCs w:val="21"/>
        </w:rPr>
        <w:t xml:space="preserve">Give lifetime free access plus a personally reviewed starting program. Ask for nothing in return, explicitly and in writing.</w:t>
      </w:r>
    </w:p>
    <w:p>
      <w:pPr>
        <w:pStyle w:val="ListParagraph"/>
        <w:numPr>
          <w:ilvl w:val="0"/>
          <w:numId w:val="3"/>
        </w:numPr>
        <w:spacing w:after="70" w:line="264"/>
      </w:pPr>
      <w:r>
        <w:rPr>
          <w:rFonts w:ascii="Calibri" w:cs="Calibri" w:eastAsia="Calibri" w:hAnsi="Calibri"/>
          <w:color w:val="222222"/>
          <w:sz w:val="21"/>
          <w:szCs w:val="21"/>
        </w:rPr>
        <w:t xml:space="preserve">Follow up at day 14 with one question: "Is it useful? What is broken?" You are buying product feedback; posts are the byproduct.</w:t>
      </w:r>
    </w:p>
    <w:p>
      <w:pPr>
        <w:pStyle w:val="ListParagraph"/>
        <w:numPr>
          <w:ilvl w:val="0"/>
          <w:numId w:val="3"/>
        </w:numPr>
        <w:spacing w:after="70" w:line="264"/>
      </w:pPr>
      <w:r>
        <w:rPr>
          <w:rFonts w:ascii="Calibri" w:cs="Calibri" w:eastAsia="Calibri" w:hAnsi="Calibri"/>
          <w:color w:val="222222"/>
          <w:sz w:val="21"/>
          <w:szCs w:val="21"/>
        </w:rPr>
        <w:t xml:space="preserve">When someone posts organically, ask permission to reshare and offer to co-create something. The ones who convert will convert without being paid.</w:t>
      </w:r>
    </w:p>
    <w:tbl>
      <w:tblPr>
        <w:tblW w:type="dxa" w:w="9360"/>
        <w:tblBorders>
          <w:top w:val="single" w:color="B5502A" w:sz="4"/>
          <w:left w:val="single" w:color="B5502A" w:sz="24"/>
          <w:bottom w:val="single" w:color="B5502A" w:sz="4"/>
          <w:right w:val="single" w:color="B5502A" w:sz="4"/>
          <w:insideH w:val="none"/>
          <w:insideV w:val="none"/>
        </w:tblBorders>
      </w:tblPr>
      <w:tblGrid>
        <w:gridCol w:w="9360"/>
      </w:tblGrid>
      <w:tr>
        <w:tc>
          <w:tcPr>
            <w:tcW w:type="dxa" w:w="9360"/>
            <w:shd w:fill="EEF3F7" w:val="clear"/>
            <w:tcMar>
              <w:top w:type="dxa" w:w="160"/>
              <w:left w:type="dxa" w:w="200"/>
              <w:bottom w:type="dxa" w:w="160"/>
              <w:right w:type="dxa" w:w="200"/>
            </w:tcMar>
          </w:tcPr>
          <w:p>
            <w:pPr>
              <w:spacing w:after="80"/>
            </w:pPr>
            <w:r>
              <w:rPr>
                <w:rFonts w:ascii="Calibri" w:cs="Calibri" w:eastAsia="Calibri" w:hAnsi="Calibri"/>
                <w:b/>
                <w:bCs/>
                <w:color w:val="B5502A"/>
                <w:sz w:val="21"/>
                <w:szCs w:val="21"/>
              </w:rPr>
              <w:t xml:space="preserve">FTC compliance on creator posts — not optional</w:t>
            </w:r>
          </w:p>
          <w:p>
            <w:pPr>
              <w:spacing w:after="90" w:line="264"/>
            </w:pPr>
            <w:r>
              <w:rPr>
                <w:rFonts w:ascii="Calibri" w:cs="Calibri" w:eastAsia="Calibri" w:hAnsi="Calibri"/>
                <w:color w:val="333333"/>
                <w:sz w:val="20"/>
                <w:szCs w:val="20"/>
              </w:rPr>
              <w:t xml:space="preserve">Free lifetime access is a material connection. Any creator posting about GLP Steel must disclose it clearly in the post itself — not in a bio, not in a comment, not buried in hashtags.</w:t>
            </w:r>
          </w:p>
          <w:p>
            <w:pPr>
              <w:spacing w:after="0" w:line="264"/>
            </w:pPr>
            <w:r>
              <w:rPr>
                <w:rFonts w:ascii="Calibri" w:cs="Calibri" w:eastAsia="Calibri" w:hAnsi="Calibri"/>
                <w:color w:val="333333"/>
                <w:sz w:val="20"/>
                <w:szCs w:val="20"/>
              </w:rPr>
              <w:t xml:space="preserve">Put this in writing when you send the access code, and keep the record. A one-line disclosure requirement in your email is cheap insurance.</w:t>
            </w:r>
          </w:p>
        </w:tc>
      </w:tr>
    </w:tbl>
    <w:p>
      <w:r>
        <w:br w:type="page"/>
      </w:r>
    </w:p>
    <w:p>
      <w:pPr>
        <w:pStyle w:val="Heading1"/>
        <w:pBdr>
          <w:bottom w:val="single" w:color="3D6E8F" w:sz="8" w:space="6"/>
        </w:pBdr>
        <w:spacing w:after="160" w:before="360"/>
      </w:pPr>
      <w:r>
        <w:rPr>
          <w:rFonts w:ascii="Calibri" w:cs="Calibri" w:eastAsia="Calibri" w:hAnsi="Calibri"/>
          <w:b/>
          <w:bCs/>
          <w:color w:val="15304A"/>
          <w:sz w:val="30"/>
          <w:szCs w:val="30"/>
        </w:rPr>
        <w:t xml:space="preserve">6. Channel two — prescriber offices</w:t>
      </w:r>
    </w:p>
    <w:p>
      <w:pPr>
        <w:spacing w:after="120" w:line="276"/>
      </w:pPr>
      <w:r>
        <w:rPr>
          <w:rFonts w:ascii="Calibri" w:cs="Calibri" w:eastAsia="Calibri" w:hAnsi="Calibri"/>
          <w:color w:val="222222"/>
          <w:sz w:val="21"/>
          <w:szCs w:val="21"/>
        </w:rPr>
        <w:t xml:space="preserve">This is the highest-leverage channel you have and the one nobody bootstrapped bothers to work, because it requires showing up in person rather than buying impressions. A physician recommendation converts at a rate no ad will match, and it costs printing.</w:t>
      </w:r>
    </w:p>
    <w:p>
      <w:pPr>
        <w:pStyle w:val="Heading2"/>
        <w:spacing w:after="100" w:before="260"/>
      </w:pPr>
      <w:r>
        <w:rPr>
          <w:rFonts w:ascii="Calibri" w:cs="Calibri" w:eastAsia="Calibri" w:hAnsi="Calibri"/>
          <w:b/>
          <w:bCs/>
          <w:color w:val="3D6E8F"/>
          <w:sz w:val="24"/>
          <w:szCs w:val="24"/>
        </w:rPr>
        <w:t xml:space="preserve">6.1 The insight the whole channel rests on</w:t>
      </w:r>
    </w:p>
    <w:tbl>
      <w:tblPr>
        <w:tblW w:type="dxa" w:w="9360"/>
        <w:tblBorders>
          <w:top w:val="single" w:color="3D6E8F" w:sz="4"/>
          <w:left w:val="single" w:color="3D6E8F" w:sz="24"/>
          <w:bottom w:val="single" w:color="3D6E8F" w:sz="4"/>
          <w:right w:val="single" w:color="3D6E8F" w:sz="4"/>
          <w:insideH w:val="none"/>
          <w:insideV w:val="none"/>
        </w:tblBorders>
      </w:tblPr>
      <w:tblGrid>
        <w:gridCol w:w="9360"/>
      </w:tblGrid>
      <w:tr>
        <w:tc>
          <w:tcPr>
            <w:tcW w:type="dxa" w:w="9360"/>
            <w:shd w:fill="EEF3F7" w:val="clear"/>
            <w:tcMar>
              <w:top w:type="dxa" w:w="160"/>
              <w:left w:type="dxa" w:w="200"/>
              <w:bottom w:type="dxa" w:w="160"/>
              <w:right w:type="dxa" w:w="200"/>
            </w:tcMar>
          </w:tcPr>
          <w:p>
            <w:pPr>
              <w:spacing w:after="80"/>
            </w:pPr>
            <w:r>
              <w:rPr>
                <w:rFonts w:ascii="Calibri" w:cs="Calibri" w:eastAsia="Calibri" w:hAnsi="Calibri"/>
                <w:b/>
                <w:bCs/>
                <w:color w:val="3D6E8F"/>
                <w:sz w:val="21"/>
                <w:szCs w:val="21"/>
              </w:rPr>
              <w:t xml:space="preserve">The unmet need is real and specific</w:t>
            </w:r>
          </w:p>
          <w:p>
            <w:pPr>
              <w:spacing w:after="90" w:line="264"/>
            </w:pPr>
            <w:r>
              <w:rPr>
                <w:rFonts w:ascii="Calibri" w:cs="Calibri" w:eastAsia="Calibri" w:hAnsi="Calibri"/>
                <w:color w:val="333333"/>
                <w:sz w:val="20"/>
                <w:szCs w:val="20"/>
              </w:rPr>
              <w:t xml:space="preserve">Every prescriber writing these drugs is being asked "will I lose muscle?" — and the honest answer is "some, yes, unless you lift and eat protein."</w:t>
            </w:r>
          </w:p>
          <w:p>
            <w:pPr>
              <w:spacing w:after="90" w:line="264"/>
            </w:pPr>
            <w:r>
              <w:rPr>
                <w:rFonts w:ascii="Calibri" w:cs="Calibri" w:eastAsia="Calibri" w:hAnsi="Calibri"/>
                <w:color w:val="333333"/>
                <w:sz w:val="20"/>
                <w:szCs w:val="20"/>
              </w:rPr>
              <w:t xml:space="preserve">They then have nothing to hand the patient. No program, no equipment, no beginner path, no protein tool.</w:t>
            </w:r>
          </w:p>
          <w:p>
            <w:pPr>
              <w:spacing w:after="0" w:line="264"/>
            </w:pPr>
            <w:r>
              <w:rPr>
                <w:rFonts w:ascii="Calibri" w:cs="Calibri" w:eastAsia="Calibri" w:hAnsi="Calibri"/>
                <w:color w:val="333333"/>
                <w:sz w:val="20"/>
                <w:szCs w:val="20"/>
              </w:rPr>
              <w:t xml:space="preserve">You are not asking them to endorse a product. You are filling a hole in their patient-education stack, for free.</w:t>
            </w:r>
          </w:p>
        </w:tc>
      </w:tr>
    </w:tbl>
    <w:p>
      <w:pPr>
        <w:spacing w:after="160"/>
      </w:pPr>
    </w:p>
    <w:p>
      <w:pPr>
        <w:pStyle w:val="Heading2"/>
        <w:spacing w:after="100" w:before="260"/>
      </w:pPr>
      <w:r>
        <w:rPr>
          <w:rFonts w:ascii="Calibri" w:cs="Calibri" w:eastAsia="Calibri" w:hAnsi="Calibri"/>
          <w:b/>
          <w:bCs/>
          <w:color w:val="3D6E8F"/>
          <w:sz w:val="24"/>
          <w:szCs w:val="24"/>
        </w:rPr>
        <w:t xml:space="preserve">6.2 Who to target, in order of how fast they say yes</w:t>
      </w:r>
    </w:p>
    <w:tbl>
      <w:tblPr>
        <w:tblW w:type="dxa" w:w="9360"/>
        <w:tblBorders>
          <w:top w:val="single" w:color="C9D6E0" w:sz="2"/>
          <w:left w:val="single" w:color="C9D6E0" w:sz="2"/>
          <w:bottom w:val="single" w:color="C9D6E0" w:sz="2"/>
          <w:right w:val="single" w:color="C9D6E0" w:sz="2"/>
          <w:insideH w:val="single" w:color="D9E2E9" w:sz="2"/>
          <w:insideV w:val="single" w:color="D9E2E9" w:sz="2"/>
        </w:tblBorders>
      </w:tblPr>
      <w:tblGrid>
        <w:gridCol w:w="2300"/>
        <w:gridCol w:w="4100"/>
        <w:gridCol w:w="2960"/>
      </w:tblGrid>
      <w:tr>
        <w:trPr>
          <w:tblHeader/>
        </w:trPr>
        <w:tc>
          <w:tcPr>
            <w:tcW w:type="dxa" w:w="2300"/>
            <w:shd w:fill="15304A"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Target</w:t>
            </w:r>
          </w:p>
        </w:tc>
        <w:tc>
          <w:tcPr>
            <w:tcW w:type="dxa" w:w="4100"/>
            <w:shd w:fill="15304A"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Why</w:t>
            </w:r>
          </w:p>
        </w:tc>
        <w:tc>
          <w:tcPr>
            <w:tcW w:type="dxa" w:w="2960"/>
            <w:shd w:fill="15304A"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Access route</w:t>
            </w:r>
          </w:p>
        </w:tc>
      </w:tr>
      <w:tr>
        <w:tc>
          <w:tcPr>
            <w:tcW w:type="dxa" w:w="2300"/>
            <w:shd w:fill="FFFFFF"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Medical weight-loss clinics and med spas</w:t>
            </w:r>
          </w:p>
        </w:tc>
        <w:tc>
          <w:tcPr>
            <w:tcW w:type="dxa" w:w="410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Fastest yes by a wide margin. Owner-operated, no committee, actively looking to differentiate, already selling body-composition services.</w:t>
            </w:r>
          </w:p>
        </w:tc>
        <w:tc>
          <w:tcPr>
            <w:tcW w:type="dxa" w:w="296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Walk in. Ask for the practice manager, not the physician.</w:t>
            </w:r>
          </w:p>
        </w:tc>
      </w:tr>
      <w:tr>
        <w:tc>
          <w:tcPr>
            <w:tcW w:type="dxa" w:w="2300"/>
            <w:shd w:fill="F5F8FA"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Registered dietitians and bariatric programs</w:t>
            </w:r>
          </w:p>
        </w:tc>
        <w:tc>
          <w:tcPr>
            <w:tcW w:type="dxa" w:w="410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Most under-targeted, most sympathetic, and protein tracking is directly their language. Strong influence over patient behaviour.</w:t>
            </w:r>
          </w:p>
        </w:tc>
        <w:tc>
          <w:tcPr>
            <w:tcW w:type="dxa" w:w="296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Local dietetics association chapters, LinkedIn, hospital bariatric coordinators.</w:t>
            </w:r>
          </w:p>
        </w:tc>
      </w:tr>
      <w:tr>
        <w:tc>
          <w:tcPr>
            <w:tcW w:type="dxa" w:w="2300"/>
            <w:shd w:fill="FFFFFF"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Nurse practitioners and PAs in weight management</w:t>
            </w:r>
          </w:p>
        </w:tc>
        <w:tc>
          <w:tcPr>
            <w:tcW w:type="dxa" w:w="410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Write an enormous share of GLP-1 prescriptions, spend more time per patient than MDs, and are far more reachable.</w:t>
            </w:r>
          </w:p>
        </w:tc>
        <w:tc>
          <w:tcPr>
            <w:tcW w:type="dxa" w:w="296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LinkedIn direct message. Highest reply rate of any provider outreach you will do.</w:t>
            </w:r>
          </w:p>
        </w:tc>
      </w:tr>
      <w:tr>
        <w:tc>
          <w:tcPr>
            <w:tcW w:type="dxa" w:w="2300"/>
            <w:shd w:fill="F5F8FA"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Obesity medicine specialists (ABOM diplomates)</w:t>
            </w:r>
          </w:p>
        </w:tc>
        <w:tc>
          <w:tcPr>
            <w:tcW w:type="dxa" w:w="410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Most likely to already know the lean-mass literature, so the conversation starts three steps ahead.</w:t>
            </w:r>
          </w:p>
        </w:tc>
        <w:tc>
          <w:tcPr>
            <w:tcW w:type="dxa" w:w="296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Public diplomate directory; regional obesity medicine chapter meetings.</w:t>
            </w:r>
          </w:p>
        </w:tc>
      </w:tr>
      <w:tr>
        <w:tc>
          <w:tcPr>
            <w:tcW w:type="dxa" w:w="2300"/>
            <w:shd w:fill="FFFFFF"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Independent and compounding pharmacies</w:t>
            </w:r>
          </w:p>
        </w:tc>
        <w:tc>
          <w:tcPr>
            <w:tcW w:type="dxa" w:w="410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Dispense the drugs, talk to patients at every refill, and are almost never marketed to by apps.</w:t>
            </w:r>
          </w:p>
        </w:tc>
        <w:tc>
          <w:tcPr>
            <w:tcW w:type="dxa" w:w="296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Walk in. Talk to the pharmacist directly during a quiet hour.</w:t>
            </w:r>
          </w:p>
        </w:tc>
      </w:tr>
      <w:tr>
        <w:tc>
          <w:tcPr>
            <w:tcW w:type="dxa" w:w="2300"/>
            <w:shd w:fill="F5F8FA"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Endocrinology and primary care</w:t>
            </w:r>
          </w:p>
        </w:tc>
        <w:tc>
          <w:tcPr>
            <w:tcW w:type="dxa" w:w="410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Largest volume, slowest and most gatekept. Do not start here.</w:t>
            </w:r>
          </w:p>
        </w:tc>
        <w:tc>
          <w:tcPr>
            <w:tcW w:type="dxa" w:w="296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Warm referral only, after you have wins elsewhere.</w:t>
            </w:r>
          </w:p>
        </w:tc>
      </w:tr>
    </w:tbl>
    <w:p>
      <w:pPr>
        <w:spacing w:after="200"/>
      </w:pPr>
    </w:p>
    <w:p>
      <w:pPr>
        <w:pStyle w:val="Heading2"/>
        <w:spacing w:after="100" w:before="260"/>
      </w:pPr>
      <w:r>
        <w:rPr>
          <w:rFonts w:ascii="Calibri" w:cs="Calibri" w:eastAsia="Calibri" w:hAnsi="Calibri"/>
          <w:b/>
          <w:bCs/>
          <w:color w:val="3D6E8F"/>
          <w:sz w:val="24"/>
          <w:szCs w:val="24"/>
        </w:rPr>
        <w:t xml:space="preserve">6.3 The offer</w:t>
      </w:r>
    </w:p>
    <w:p>
      <w:pPr>
        <w:spacing w:after="120" w:line="276"/>
      </w:pPr>
      <w:r>
        <w:rPr>
          <w:rFonts w:ascii="Calibri" w:cs="Calibri" w:eastAsia="Calibri" w:hAnsi="Calibri"/>
          <w:color w:val="222222"/>
          <w:sz w:val="21"/>
          <w:szCs w:val="21"/>
        </w:rPr>
        <w:t xml:space="preserve">Keep it radically simple, and keep money out of it entirely.</w:t>
      </w:r>
    </w:p>
    <w:p>
      <w:pPr>
        <w:pStyle w:val="ListParagraph"/>
        <w:numPr>
          <w:ilvl w:val="0"/>
          <w:numId w:val="2"/>
        </w:numPr>
        <w:spacing w:after="70" w:line="264"/>
      </w:pPr>
      <w:r>
        <w:rPr>
          <w:rFonts w:ascii="Calibri" w:cs="Calibri" w:eastAsia="Calibri" w:hAnsi="Calibri"/>
          <w:b/>
          <w:bCs/>
          <w:color w:val="15304A"/>
          <w:sz w:val="21"/>
          <w:szCs w:val="21"/>
        </w:rPr>
        <w:t xml:space="preserve">Free for their patients. </w:t>
      </w:r>
      <w:r>
        <w:rPr>
          <w:rFonts w:ascii="Calibri" w:cs="Calibri" w:eastAsia="Calibri" w:hAnsi="Calibri"/>
          <w:color w:val="222222"/>
          <w:sz w:val="21"/>
          <w:szCs w:val="21"/>
        </w:rPr>
        <w:t xml:space="preserve">No fee to the clinic, no fee to the patient, no trial that expires mid-conversation.</w:t>
      </w:r>
    </w:p>
    <w:p>
      <w:pPr>
        <w:pStyle w:val="ListParagraph"/>
        <w:numPr>
          <w:ilvl w:val="0"/>
          <w:numId w:val="2"/>
        </w:numPr>
        <w:spacing w:after="70" w:line="264"/>
      </w:pPr>
      <w:r>
        <w:rPr>
          <w:rFonts w:ascii="Calibri" w:cs="Calibri" w:eastAsia="Calibri" w:hAnsi="Calibri"/>
          <w:b/>
          <w:bCs/>
          <w:color w:val="15304A"/>
          <w:sz w:val="21"/>
          <w:szCs w:val="21"/>
        </w:rPr>
        <w:t xml:space="preserve">No payment in either direction. </w:t>
      </w:r>
      <w:r>
        <w:rPr>
          <w:rFonts w:ascii="Calibri" w:cs="Calibri" w:eastAsia="Calibri" w:hAnsi="Calibri"/>
          <w:color w:val="222222"/>
          <w:sz w:val="21"/>
          <w:szCs w:val="21"/>
        </w:rPr>
        <w:t xml:space="preserve">You pay nothing for referrals and take nothing from the clinic. Say this out loud in the first meeting — it removes the objection before it forms and it keeps you clear of anti-kickback exposure, which is a real consideration once any patient in the mix is covered by Medicare.</w:t>
      </w:r>
    </w:p>
    <w:p>
      <w:pPr>
        <w:pStyle w:val="ListParagraph"/>
        <w:numPr>
          <w:ilvl w:val="0"/>
          <w:numId w:val="2"/>
        </w:numPr>
        <w:spacing w:after="70" w:line="264"/>
      </w:pPr>
      <w:r>
        <w:rPr>
          <w:rFonts w:ascii="Calibri" w:cs="Calibri" w:eastAsia="Calibri" w:hAnsi="Calibri"/>
          <w:b/>
          <w:bCs/>
          <w:color w:val="15304A"/>
          <w:sz w:val="21"/>
          <w:szCs w:val="21"/>
        </w:rPr>
        <w:t xml:space="preserve">One page, one QR code. </w:t>
      </w:r>
      <w:r>
        <w:rPr>
          <w:rFonts w:ascii="Calibri" w:cs="Calibri" w:eastAsia="Calibri" w:hAnsi="Calibri"/>
          <w:color w:val="222222"/>
          <w:sz w:val="21"/>
          <w:szCs w:val="21"/>
        </w:rPr>
        <w:t xml:space="preserve">A printed handout the front desk can give out. That is the entire integration. No portal, no login, no IT conversation, no BAA.</w:t>
      </w:r>
    </w:p>
    <w:p>
      <w:pPr>
        <w:pStyle w:val="ListParagraph"/>
        <w:numPr>
          <w:ilvl w:val="0"/>
          <w:numId w:val="2"/>
        </w:numPr>
        <w:spacing w:after="70" w:line="264"/>
      </w:pPr>
      <w:r>
        <w:rPr>
          <w:rFonts w:ascii="Calibri" w:cs="Calibri" w:eastAsia="Calibri" w:hAnsi="Calibri"/>
          <w:b/>
          <w:bCs/>
          <w:color w:val="15304A"/>
          <w:sz w:val="21"/>
          <w:szCs w:val="21"/>
        </w:rPr>
        <w:t xml:space="preserve">Optional co-branding after a pilot. </w:t>
      </w:r>
      <w:r>
        <w:rPr>
          <w:rFonts w:ascii="Calibri" w:cs="Calibri" w:eastAsia="Calibri" w:hAnsi="Calibri"/>
          <w:color w:val="222222"/>
          <w:sz w:val="21"/>
          <w:szCs w:val="21"/>
        </w:rPr>
        <w:t xml:space="preserve">Once a clinic has used it for a month, offer a version with their logo. Costs you nothing and converts a user into an advocate.</w:t>
      </w:r>
    </w:p>
    <w:p>
      <w:pPr>
        <w:spacing w:after="140"/>
      </w:pPr>
    </w:p>
    <w:tbl>
      <w:tblPr>
        <w:tblW w:type="dxa" w:w="9360"/>
        <w:tblBorders>
          <w:top w:val="single" w:color="B5502A" w:sz="4"/>
          <w:left w:val="single" w:color="B5502A" w:sz="24"/>
          <w:bottom w:val="single" w:color="B5502A" w:sz="4"/>
          <w:right w:val="single" w:color="B5502A" w:sz="4"/>
          <w:insideH w:val="none"/>
          <w:insideV w:val="none"/>
        </w:tblBorders>
      </w:tblPr>
      <w:tblGrid>
        <w:gridCol w:w="9360"/>
      </w:tblGrid>
      <w:tr>
        <w:tc>
          <w:tcPr>
            <w:tcW w:type="dxa" w:w="9360"/>
            <w:shd w:fill="EEF3F7" w:val="clear"/>
            <w:tcMar>
              <w:top w:type="dxa" w:w="160"/>
              <w:left w:type="dxa" w:w="200"/>
              <w:bottom w:type="dxa" w:w="160"/>
              <w:right w:type="dxa" w:w="200"/>
            </w:tcMar>
          </w:tcPr>
          <w:p>
            <w:pPr>
              <w:spacing w:after="80"/>
            </w:pPr>
            <w:r>
              <w:rPr>
                <w:rFonts w:ascii="Calibri" w:cs="Calibri" w:eastAsia="Calibri" w:hAnsi="Calibri"/>
                <w:b/>
                <w:bCs/>
                <w:color w:val="B5502A"/>
                <w:sz w:val="21"/>
                <w:szCs w:val="21"/>
              </w:rPr>
              <w:t xml:space="preserve">Deliberately not offering</w:t>
            </w:r>
          </w:p>
          <w:p>
            <w:pPr>
              <w:spacing w:after="90" w:line="264"/>
            </w:pPr>
            <w:r>
              <w:rPr>
                <w:rFonts w:ascii="Calibri" w:cs="Calibri" w:eastAsia="Calibri" w:hAnsi="Calibri"/>
                <w:color w:val="333333"/>
                <w:sz w:val="20"/>
                <w:szCs w:val="20"/>
              </w:rPr>
              <w:t xml:space="preserve">A provider dashboard showing patient data. It sounds impressive, it triggers HIPAA and business-associate obligations, and no clinic asked for it. Do not build it to win a deal.</w:t>
            </w:r>
          </w:p>
          <w:p>
            <w:pPr>
              <w:spacing w:after="0" w:line="264"/>
            </w:pPr>
            <w:r>
              <w:rPr>
                <w:rFonts w:ascii="Calibri" w:cs="Calibri" w:eastAsia="Calibri" w:hAnsi="Calibri"/>
                <w:color w:val="333333"/>
                <w:sz w:val="20"/>
                <w:szCs w:val="20"/>
              </w:rPr>
              <w:t xml:space="preserve">Revenue share or per-referral payment. Even where technically permissible, it changes the nature of the relationship and the regulatory analysis. Stay clean.</w:t>
            </w:r>
          </w:p>
        </w:tc>
      </w:tr>
    </w:tbl>
    <w:p>
      <w:pPr>
        <w:spacing w:after="160"/>
      </w:pPr>
    </w:p>
    <w:p>
      <w:pPr>
        <w:pStyle w:val="Heading2"/>
        <w:spacing w:after="100" w:before="260"/>
      </w:pPr>
      <w:r>
        <w:rPr>
          <w:rFonts w:ascii="Calibri" w:cs="Calibri" w:eastAsia="Calibri" w:hAnsi="Calibri"/>
          <w:b/>
          <w:bCs/>
          <w:color w:val="3D6E8F"/>
          <w:sz w:val="24"/>
          <w:szCs w:val="24"/>
        </w:rPr>
        <w:t xml:space="preserve">6.4 The outreach sequence</w:t>
      </w:r>
    </w:p>
    <w:tbl>
      <w:tblPr>
        <w:tblW w:type="dxa" w:w="9360"/>
        <w:tblBorders>
          <w:top w:val="single" w:color="C9D6E0" w:sz="2"/>
          <w:left w:val="single" w:color="C9D6E0" w:sz="2"/>
          <w:bottom w:val="single" w:color="C9D6E0" w:sz="2"/>
          <w:right w:val="single" w:color="C9D6E0" w:sz="2"/>
          <w:insideH w:val="single" w:color="D9E2E9" w:sz="2"/>
          <w:insideV w:val="single" w:color="D9E2E9" w:sz="2"/>
        </w:tblBorders>
      </w:tblPr>
      <w:tblGrid>
        <w:gridCol w:w="700"/>
        <w:gridCol w:w="2900"/>
        <w:gridCol w:w="5760"/>
      </w:tblGrid>
      <w:tr>
        <w:trPr>
          <w:tblHeader/>
        </w:trPr>
        <w:tc>
          <w:tcPr>
            <w:tcW w:type="dxa" w:w="700"/>
            <w:shd w:fill="15304A"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Step</w:t>
            </w:r>
          </w:p>
        </w:tc>
        <w:tc>
          <w:tcPr>
            <w:tcW w:type="dxa" w:w="2900"/>
            <w:shd w:fill="15304A"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Action</w:t>
            </w:r>
          </w:p>
        </w:tc>
        <w:tc>
          <w:tcPr>
            <w:tcW w:type="dxa" w:w="5760"/>
            <w:shd w:fill="15304A"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Notes</w:t>
            </w:r>
          </w:p>
        </w:tc>
      </w:tr>
      <w:tr>
        <w:tc>
          <w:tcPr>
            <w:tcW w:type="dxa" w:w="700"/>
            <w:shd w:fill="FFFFFF"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1</w:t>
            </w:r>
          </w:p>
        </w:tc>
        <w:tc>
          <w:tcPr>
            <w:tcW w:type="dxa" w:w="290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Build a 40-clinic list in one metro</w:t>
            </w:r>
          </w:p>
        </w:tc>
        <w:tc>
          <w:tcPr>
            <w:tcW w:type="dxa" w:w="576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Google Maps "medical weight loss" + "med spa" + "obesity medicine". Record practice manager name where visible.</w:t>
            </w:r>
          </w:p>
        </w:tc>
      </w:tr>
      <w:tr>
        <w:tc>
          <w:tcPr>
            <w:tcW w:type="dxa" w:w="700"/>
            <w:shd w:fill="F5F8FA"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2</w:t>
            </w:r>
          </w:p>
        </w:tc>
        <w:tc>
          <w:tcPr>
            <w:tcW w:type="dxa" w:w="290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Walk in with printed one-pagers</w:t>
            </w:r>
          </w:p>
        </w:tc>
        <w:tc>
          <w:tcPr>
            <w:tcW w:type="dxa" w:w="576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Tuesday–Thursday, 2–4pm, the quiet window. Ask for the practice manager. Sixty seconds, leave the page, leave.</w:t>
            </w:r>
          </w:p>
        </w:tc>
      </w:tr>
      <w:tr>
        <w:tc>
          <w:tcPr>
            <w:tcW w:type="dxa" w:w="700"/>
            <w:shd w:fill="FFFFFF"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3</w:t>
            </w:r>
          </w:p>
        </w:tc>
        <w:tc>
          <w:tcPr>
            <w:tcW w:type="dxa" w:w="290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Email follow-up 48 hours later</w:t>
            </w:r>
          </w:p>
        </w:tc>
        <w:tc>
          <w:tcPr>
            <w:tcW w:type="dxa" w:w="576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Short. Reference the visit. One ask: a 15-minute demo, or permission to leave 50 handouts.</w:t>
            </w:r>
          </w:p>
        </w:tc>
      </w:tr>
      <w:tr>
        <w:tc>
          <w:tcPr>
            <w:tcW w:type="dxa" w:w="700"/>
            <w:shd w:fill="F5F8FA"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4</w:t>
            </w:r>
          </w:p>
        </w:tc>
        <w:tc>
          <w:tcPr>
            <w:tcW w:type="dxa" w:w="290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Offer a lunch demo</w:t>
            </w:r>
          </w:p>
        </w:tc>
        <w:tc>
          <w:tcPr>
            <w:tcW w:type="dxa" w:w="576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Fifteen minutes, you bring lunch, you demo the scan on their own office equipment. That demo is what closes it.</w:t>
            </w:r>
          </w:p>
        </w:tc>
      </w:tr>
      <w:tr>
        <w:tc>
          <w:tcPr>
            <w:tcW w:type="dxa" w:w="700"/>
            <w:shd w:fill="FFFFFF"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5</w:t>
            </w:r>
          </w:p>
        </w:tc>
        <w:tc>
          <w:tcPr>
            <w:tcW w:type="dxa" w:w="290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Pilot with 10 patients</w:t>
            </w:r>
          </w:p>
        </w:tc>
        <w:tc>
          <w:tcPr>
            <w:tcW w:type="dxa" w:w="576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Give the clinic a unique QR so you can attribute. Check in at two weeks with real usage numbers.</w:t>
            </w:r>
          </w:p>
        </w:tc>
      </w:tr>
      <w:tr>
        <w:tc>
          <w:tcPr>
            <w:tcW w:type="dxa" w:w="700"/>
            <w:shd w:fill="F5F8FA"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6</w:t>
            </w:r>
          </w:p>
        </w:tc>
        <w:tc>
          <w:tcPr>
            <w:tcW w:type="dxa" w:w="290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Convert to a case study</w:t>
            </w:r>
          </w:p>
        </w:tc>
        <w:tc>
          <w:tcPr>
            <w:tcW w:type="dxa" w:w="576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One clinic willing to be named unlocks the next twenty. This is the compounding step.</w:t>
            </w:r>
          </w:p>
        </w:tc>
      </w:tr>
    </w:tbl>
    <w:p>
      <w:pPr>
        <w:spacing w:after="160"/>
      </w:pPr>
    </w:p>
    <w:p>
      <w:pPr>
        <w:spacing w:after="120" w:line="276"/>
      </w:pPr>
      <w:r>
        <w:rPr>
          <w:rFonts w:ascii="Calibri" w:cs="Calibri" w:eastAsia="Calibri" w:hAnsi="Calibri"/>
          <w:i/>
          <w:iCs/>
          <w:color w:val="5A5A5A"/>
          <w:sz w:val="21"/>
          <w:szCs w:val="21"/>
        </w:rPr>
        <w:t xml:space="preserve">Realistic expectations: of 40 clinics walked, expect roughly 10 to take handouts, 4 to agree to a demo, and 1–2 to become genuine referrers. That is a good outcome, and it is a better cost per acquired user than any paid channel available to you at this budget.</w:t>
      </w:r>
    </w:p>
    <w:p>
      <w:r>
        <w:br w:type="page"/>
      </w:r>
    </w:p>
    <w:p>
      <w:pPr>
        <w:pStyle w:val="Heading1"/>
        <w:pBdr>
          <w:bottom w:val="single" w:color="3D6E8F" w:sz="8" w:space="6"/>
        </w:pBdr>
        <w:spacing w:after="160" w:before="360"/>
      </w:pPr>
      <w:r>
        <w:rPr>
          <w:rFonts w:ascii="Calibri" w:cs="Calibri" w:eastAsia="Calibri" w:hAnsi="Calibri"/>
          <w:b/>
          <w:bCs/>
          <w:color w:val="15304A"/>
          <w:sz w:val="30"/>
          <w:szCs w:val="30"/>
        </w:rPr>
        <w:t xml:space="preserve">7. Channel three — the retatrutide long game</w:t>
      </w:r>
    </w:p>
    <w:p>
      <w:pPr>
        <w:pStyle w:val="Heading2"/>
        <w:spacing w:after="100" w:before="260"/>
      </w:pPr>
      <w:r>
        <w:rPr>
          <w:rFonts w:ascii="Calibri" w:cs="Calibri" w:eastAsia="Calibri" w:hAnsi="Calibri"/>
          <w:b/>
          <w:bCs/>
          <w:color w:val="3D6E8F"/>
          <w:sz w:val="24"/>
          <w:szCs w:val="24"/>
        </w:rPr>
        <w:t xml:space="preserve">7.1 The opportunity</w:t>
      </w:r>
    </w:p>
    <w:p>
      <w:pPr>
        <w:spacing w:after="120" w:line="276"/>
      </w:pPr>
      <w:r>
        <w:rPr>
          <w:rFonts w:ascii="Calibri" w:cs="Calibri" w:eastAsia="Calibri" w:hAnsi="Calibri"/>
          <w:color w:val="222222"/>
          <w:sz w:val="21"/>
          <w:szCs w:val="21"/>
        </w:rPr>
        <w:t xml:space="preserve">Retatrutide has generated enormous public interest well ahead of any approval, and the content currently satisfying that interest is dominated by sellers of unapproved product. An honest, genuinely useful set of pages can rank in that gap without a budget, and will be aged and authoritative by the time an approval actually lands in late 2027 or 2028.</w:t>
      </w:r>
    </w:p>
    <w:p>
      <w:pPr>
        <w:spacing w:after="120" w:line="276"/>
      </w:pPr>
      <w:r>
        <w:rPr>
          <w:rFonts w:ascii="Calibri" w:cs="Calibri" w:eastAsia="Calibri" w:hAnsi="Calibri"/>
          <w:color w:val="222222"/>
          <w:sz w:val="21"/>
          <w:szCs w:val="21"/>
        </w:rPr>
        <w:t xml:space="preserve">There is also a substantive angle only you can own: the trial results showed average weight loss around 20.8% in TRIUMPH-2 and 22.6% in TRIUMPH-3. Deeper weight loss implies a larger absolute lean-mass problem. Nobody is telling that story, and it is your story.</w:t>
      </w:r>
    </w:p>
    <w:p>
      <w:pPr>
        <w:pStyle w:val="Heading2"/>
        <w:spacing w:after="100" w:before="260"/>
      </w:pPr>
      <w:r>
        <w:rPr>
          <w:rFonts w:ascii="Calibri" w:cs="Calibri" w:eastAsia="Calibri" w:hAnsi="Calibri"/>
          <w:b/>
          <w:bCs/>
          <w:color w:val="3D6E8F"/>
          <w:sz w:val="24"/>
          <w:szCs w:val="24"/>
        </w:rPr>
        <w:t xml:space="preserve">7.2 What to publish now</w:t>
      </w:r>
    </w:p>
    <w:p>
      <w:pPr>
        <w:pStyle w:val="ListParagraph"/>
        <w:numPr>
          <w:ilvl w:val="0"/>
          <w:numId w:val="2"/>
        </w:numPr>
        <w:spacing w:after="70" w:line="264"/>
      </w:pPr>
      <w:r>
        <w:rPr>
          <w:rFonts w:ascii="Calibri" w:cs="Calibri" w:eastAsia="Calibri" w:hAnsi="Calibri"/>
          <w:b/>
          <w:bCs/>
          <w:color w:val="15304A"/>
          <w:sz w:val="21"/>
          <w:szCs w:val="21"/>
        </w:rPr>
        <w:t xml:space="preserve">"Is retatrutide available yet?" </w:t>
      </w:r>
      <w:r>
        <w:rPr>
          <w:rFonts w:ascii="Calibri" w:cs="Calibri" w:eastAsia="Calibri" w:hAnsi="Calibri"/>
          <w:color w:val="222222"/>
          <w:sz w:val="21"/>
          <w:szCs w:val="21"/>
        </w:rPr>
        <w:t xml:space="preserve">The plain, accurate answer with the actual timeline. High search volume, currently answered mostly by people trying to sell something.</w:t>
      </w:r>
    </w:p>
    <w:p>
      <w:pPr>
        <w:pStyle w:val="ListParagraph"/>
        <w:numPr>
          <w:ilvl w:val="0"/>
          <w:numId w:val="2"/>
        </w:numPr>
        <w:spacing w:after="70" w:line="264"/>
      </w:pPr>
      <w:r>
        <w:rPr>
          <w:rFonts w:ascii="Calibri" w:cs="Calibri" w:eastAsia="Calibri" w:hAnsi="Calibri"/>
          <w:b/>
          <w:bCs/>
          <w:color w:val="15304A"/>
          <w:sz w:val="21"/>
          <w:szCs w:val="21"/>
        </w:rPr>
        <w:t xml:space="preserve">"Retatrutide expanded access — who actually qualifies." </w:t>
      </w:r>
      <w:r>
        <w:rPr>
          <w:rFonts w:ascii="Calibri" w:cs="Calibri" w:eastAsia="Calibri" w:hAnsi="Calibri"/>
          <w:color w:val="222222"/>
          <w:sz w:val="21"/>
          <w:szCs w:val="21"/>
        </w:rPr>
        <w:t xml:space="preserve">The narrow criteria, explained clearly. Useful, honest, and it positions you as the source that does not oversell.</w:t>
      </w:r>
    </w:p>
    <w:p>
      <w:pPr>
        <w:pStyle w:val="ListParagraph"/>
        <w:numPr>
          <w:ilvl w:val="0"/>
          <w:numId w:val="2"/>
        </w:numPr>
        <w:spacing w:after="70" w:line="264"/>
      </w:pPr>
      <w:r>
        <w:rPr>
          <w:rFonts w:ascii="Calibri" w:cs="Calibri" w:eastAsia="Calibri" w:hAnsi="Calibri"/>
          <w:b/>
          <w:bCs/>
          <w:color w:val="15304A"/>
          <w:sz w:val="21"/>
          <w:szCs w:val="21"/>
        </w:rPr>
        <w:t xml:space="preserve">"What triple agonists mean for muscle." </w:t>
      </w:r>
      <w:r>
        <w:rPr>
          <w:rFonts w:ascii="Calibri" w:cs="Calibri" w:eastAsia="Calibri" w:hAnsi="Calibri"/>
          <w:color w:val="222222"/>
          <w:sz w:val="21"/>
          <w:szCs w:val="21"/>
        </w:rPr>
        <w:t xml:space="preserve">Your differentiated take. Careful, sourced, non-alarmist.</w:t>
      </w:r>
    </w:p>
    <w:p>
      <w:pPr>
        <w:pStyle w:val="ListParagraph"/>
        <w:numPr>
          <w:ilvl w:val="0"/>
          <w:numId w:val="2"/>
        </w:numPr>
        <w:spacing w:after="70" w:line="264"/>
      </w:pPr>
      <w:r>
        <w:rPr>
          <w:rFonts w:ascii="Calibri" w:cs="Calibri" w:eastAsia="Calibri" w:hAnsi="Calibri"/>
          <w:b/>
          <w:bCs/>
          <w:color w:val="15304A"/>
          <w:sz w:val="21"/>
          <w:szCs w:val="21"/>
        </w:rPr>
        <w:t xml:space="preserve">"Get ready before it launches." </w:t>
      </w:r>
      <w:r>
        <w:rPr>
          <w:rFonts w:ascii="Calibri" w:cs="Calibri" w:eastAsia="Calibri" w:hAnsi="Calibri"/>
          <w:color w:val="222222"/>
          <w:sz w:val="21"/>
          <w:szCs w:val="21"/>
        </w:rPr>
        <w:t xml:space="preserve">The email capture. Building strength now means arriving at the next drug with muscle in the bank. This is a genuinely good argument, not a hook.</w:t>
      </w:r>
    </w:p>
    <w:p>
      <w:pPr>
        <w:spacing w:after="140"/>
      </w:pPr>
    </w:p>
    <w:p>
      <w:pPr>
        <w:pStyle w:val="Heading2"/>
        <w:spacing w:after="100" w:before="260"/>
      </w:pPr>
      <w:r>
        <w:rPr>
          <w:rFonts w:ascii="Calibri" w:cs="Calibri" w:eastAsia="Calibri" w:hAnsi="Calibri"/>
          <w:b/>
          <w:bCs/>
          <w:color w:val="3D6E8F"/>
          <w:sz w:val="24"/>
          <w:szCs w:val="24"/>
        </w:rPr>
        <w:t xml:space="preserve">7.3 The hard line on gray-market product</w:t>
      </w:r>
    </w:p>
    <w:tbl>
      <w:tblPr>
        <w:tblW w:type="dxa" w:w="9360"/>
        <w:tblBorders>
          <w:top w:val="single" w:color="B5502A" w:sz="4"/>
          <w:left w:val="single" w:color="B5502A" w:sz="24"/>
          <w:bottom w:val="single" w:color="B5502A" w:sz="4"/>
          <w:right w:val="single" w:color="B5502A" w:sz="4"/>
          <w:insideH w:val="none"/>
          <w:insideV w:val="none"/>
        </w:tblBorders>
      </w:tblPr>
      <w:tblGrid>
        <w:gridCol w:w="9360"/>
      </w:tblGrid>
      <w:tr>
        <w:tc>
          <w:tcPr>
            <w:tcW w:type="dxa" w:w="9360"/>
            <w:shd w:fill="EEF3F7" w:val="clear"/>
            <w:tcMar>
              <w:top w:type="dxa" w:w="160"/>
              <w:left w:type="dxa" w:w="200"/>
              <w:bottom w:type="dxa" w:w="160"/>
              <w:right w:type="dxa" w:w="200"/>
            </w:tcMar>
          </w:tcPr>
          <w:p>
            <w:pPr>
              <w:spacing w:after="80"/>
            </w:pPr>
            <w:r>
              <w:rPr>
                <w:rFonts w:ascii="Calibri" w:cs="Calibri" w:eastAsia="Calibri" w:hAnsi="Calibri"/>
                <w:b/>
                <w:bCs/>
                <w:color w:val="B5502A"/>
                <w:sz w:val="21"/>
                <w:szCs w:val="21"/>
              </w:rPr>
              <w:t xml:space="preserve">Non-negotiable</w:t>
            </w:r>
          </w:p>
          <w:p>
            <w:pPr>
              <w:spacing w:after="90" w:line="264"/>
            </w:pPr>
            <w:r>
              <w:rPr>
                <w:rFonts w:ascii="Calibri" w:cs="Calibri" w:eastAsia="Calibri" w:hAnsi="Calibri"/>
                <w:color w:val="333333"/>
                <w:sz w:val="20"/>
                <w:szCs w:val="20"/>
              </w:rPr>
              <w:t xml:space="preserve">The FDA has issued warning letters to fourteen retatrutide vendors since late 2024, most of whom kept selling. Independent testing of gray-market peptides has found mislabeled concentrations, degraded material, and contamination. Selling or distributing an unapproved drug is a federal violation.</w:t>
            </w:r>
          </w:p>
          <w:p>
            <w:pPr>
              <w:spacing w:after="90" w:line="264"/>
            </w:pPr>
            <w:r>
              <w:rPr>
                <w:rFonts w:ascii="Calibri" w:cs="Calibri" w:eastAsia="Calibri" w:hAnsi="Calibri"/>
                <w:color w:val="333333"/>
                <w:sz w:val="20"/>
                <w:szCs w:val="20"/>
              </w:rPr>
              <w:t xml:space="preserve">GLP Steel must never sell, endorse, review, link to, discount, or accept sponsorship from any of these vendors — and must never build a feature that assumes a user is on one.</w:t>
            </w:r>
          </w:p>
          <w:p>
            <w:pPr>
              <w:spacing w:after="90" w:line="264"/>
            </w:pPr>
            <w:r>
              <w:rPr>
                <w:rFonts w:ascii="Calibri" w:cs="Calibri" w:eastAsia="Calibri" w:hAnsi="Calibri"/>
                <w:color w:val="333333"/>
                <w:sz w:val="20"/>
                <w:szCs w:val="20"/>
              </w:rPr>
              <w:t xml:space="preserve">This is not only an ethics position. One association with a peptide seller ends the prescriber channel permanently, and prescribers are your best channel.</w:t>
            </w:r>
          </w:p>
          <w:p>
            <w:pPr>
              <w:spacing w:after="0" w:line="264"/>
            </w:pPr>
            <w:r>
              <w:rPr>
                <w:rFonts w:ascii="Calibri" w:cs="Calibri" w:eastAsia="Calibri" w:hAnsi="Calibri"/>
                <w:color w:val="333333"/>
                <w:sz w:val="20"/>
                <w:szCs w:val="20"/>
              </w:rPr>
              <w:t xml:space="preserve">What you can and should do: serve anyone who arrives, without interrogating them about their source, and consistently point toward licensed medical supervision.</w:t>
            </w:r>
          </w:p>
        </w:tc>
      </w:tr>
    </w:tbl>
    <w:p>
      <w:r>
        <w:br w:type="page"/>
      </w:r>
    </w:p>
    <w:p>
      <w:pPr>
        <w:pStyle w:val="Heading1"/>
        <w:pBdr>
          <w:bottom w:val="single" w:color="3D6E8F" w:sz="8" w:space="6"/>
        </w:pBdr>
        <w:spacing w:after="160" w:before="360"/>
      </w:pPr>
      <w:r>
        <w:rPr>
          <w:rFonts w:ascii="Calibri" w:cs="Calibri" w:eastAsia="Calibri" w:hAnsi="Calibri"/>
          <w:b/>
          <w:bCs/>
          <w:color w:val="15304A"/>
          <w:sz w:val="30"/>
          <w:szCs w:val="30"/>
        </w:rPr>
        <w:t xml:space="preserve">8. Compliance guardrails</w:t>
      </w:r>
    </w:p>
    <w:p>
      <w:pPr>
        <w:spacing w:after="120" w:line="276"/>
      </w:pPr>
      <w:r>
        <w:rPr>
          <w:rFonts w:ascii="Calibri" w:cs="Calibri" w:eastAsia="Calibri" w:hAnsi="Calibri"/>
          <w:color w:val="222222"/>
          <w:sz w:val="21"/>
          <w:szCs w:val="21"/>
        </w:rPr>
        <w:t xml:space="preserve">None of this is legal advice, and a healthcare-marketing attorney should review the final assets before launch. What follows is the practical shortlist of things that actually catch app marketers in this category.</w:t>
      </w:r>
    </w:p>
    <w:p>
      <w:pPr>
        <w:pStyle w:val="Heading2"/>
        <w:spacing w:after="100" w:before="260"/>
      </w:pPr>
      <w:r>
        <w:rPr>
          <w:rFonts w:ascii="Calibri" w:cs="Calibri" w:eastAsia="Calibri" w:hAnsi="Calibri"/>
          <w:b/>
          <w:bCs/>
          <w:color w:val="3D6E8F"/>
          <w:sz w:val="24"/>
          <w:szCs w:val="24"/>
        </w:rPr>
        <w:t xml:space="preserve">8.1 Paid social, if and when you spend</w:t>
      </w:r>
    </w:p>
    <w:p>
      <w:pPr>
        <w:pStyle w:val="ListParagraph"/>
        <w:numPr>
          <w:ilvl w:val="0"/>
          <w:numId w:val="2"/>
        </w:numPr>
        <w:spacing w:after="70" w:line="264"/>
      </w:pPr>
      <w:r>
        <w:rPr>
          <w:rFonts w:ascii="Calibri" w:cs="Calibri" w:eastAsia="Calibri" w:hAnsi="Calibri"/>
          <w:b/>
          <w:bCs/>
          <w:color w:val="15304A"/>
          <w:sz w:val="21"/>
          <w:szCs w:val="21"/>
        </w:rPr>
        <w:t xml:space="preserve">Age targeting. </w:t>
      </w:r>
      <w:r>
        <w:rPr>
          <w:rFonts w:ascii="Calibri" w:cs="Calibri" w:eastAsia="Calibri" w:hAnsi="Calibri"/>
          <w:color w:val="222222"/>
          <w:sz w:val="21"/>
          <w:szCs w:val="21"/>
        </w:rPr>
        <w:t xml:space="preserve">Meta prohibits weight-loss and body-image ads reaching under-18s under any circumstance. Set 18+ on everything weight-adjacent, even where not strictly required.</w:t>
      </w:r>
    </w:p>
    <w:p>
      <w:pPr>
        <w:pStyle w:val="ListParagraph"/>
        <w:numPr>
          <w:ilvl w:val="0"/>
          <w:numId w:val="2"/>
        </w:numPr>
        <w:spacing w:after="70" w:line="264"/>
      </w:pPr>
      <w:r>
        <w:rPr>
          <w:rFonts w:ascii="Calibri" w:cs="Calibri" w:eastAsia="Calibri" w:hAnsi="Calibri"/>
          <w:b/>
          <w:bCs/>
          <w:color w:val="15304A"/>
          <w:sz w:val="21"/>
          <w:szCs w:val="21"/>
        </w:rPr>
        <w:t xml:space="preserve">Prohibited claim types. </w:t>
      </w:r>
      <w:r>
        <w:rPr>
          <w:rFonts w:ascii="Calibri" w:cs="Calibri" w:eastAsia="Calibri" w:hAnsi="Calibri"/>
          <w:color w:val="222222"/>
          <w:sz w:val="21"/>
          <w:szCs w:val="21"/>
        </w:rPr>
        <w:t xml:space="preserve">Meta bans disease-cure claims and blood-sugar or diabetes claims outright. Do not let a well-meaning caption drift there.</w:t>
      </w:r>
    </w:p>
    <w:p>
      <w:pPr>
        <w:pStyle w:val="ListParagraph"/>
        <w:numPr>
          <w:ilvl w:val="0"/>
          <w:numId w:val="2"/>
        </w:numPr>
        <w:spacing w:after="70" w:line="264"/>
      </w:pPr>
      <w:r>
        <w:rPr>
          <w:rFonts w:ascii="Calibri" w:cs="Calibri" w:eastAsia="Calibri" w:hAnsi="Calibri"/>
          <w:b/>
          <w:bCs/>
          <w:color w:val="15304A"/>
          <w:sz w:val="21"/>
          <w:szCs w:val="21"/>
        </w:rPr>
        <w:t xml:space="preserve">TikTok is stricter. </w:t>
      </w:r>
      <w:r>
        <w:rPr>
          <w:rFonts w:ascii="Calibri" w:cs="Calibri" w:eastAsia="Calibri" w:hAnsi="Calibri"/>
          <w:color w:val="222222"/>
          <w:sz w:val="21"/>
          <w:szCs w:val="21"/>
        </w:rPr>
        <w:t xml:space="preserve">It bans promotion of weight-loss supplements and fasting apps entirely, restricts weight-management messaging to 18+, and prohibits any suggestion that a product delivers weight loss or muscle gain without diet and exercise, or that either is easy or guaranteed. Your strength-and-protein framing sits comfortably inside these rules; a "lose weight faster" framing would not.</w:t>
      </w:r>
    </w:p>
    <w:p>
      <w:pPr>
        <w:pStyle w:val="ListParagraph"/>
        <w:numPr>
          <w:ilvl w:val="0"/>
          <w:numId w:val="2"/>
        </w:numPr>
        <w:spacing w:after="70" w:line="264"/>
      </w:pPr>
      <w:r>
        <w:rPr>
          <w:rFonts w:ascii="Calibri" w:cs="Calibri" w:eastAsia="Calibri" w:hAnsi="Calibri"/>
          <w:b/>
          <w:bCs/>
          <w:color w:val="15304A"/>
          <w:sz w:val="21"/>
          <w:szCs w:val="21"/>
        </w:rPr>
        <w:t xml:space="preserve">Before/after imagery. </w:t>
      </w:r>
      <w:r>
        <w:rPr>
          <w:rFonts w:ascii="Calibri" w:cs="Calibri" w:eastAsia="Calibri" w:hAnsi="Calibri"/>
          <w:color w:val="222222"/>
          <w:sz w:val="21"/>
          <w:szCs w:val="21"/>
        </w:rPr>
        <w:t xml:space="preserve">Meta stopped auto-rejecting it in July 2026. Still do not use it — see Section 4.</w:t>
      </w:r>
    </w:p>
    <w:p>
      <w:pPr>
        <w:pStyle w:val="Heading2"/>
        <w:spacing w:after="100" w:before="260"/>
      </w:pPr>
      <w:r>
        <w:rPr>
          <w:rFonts w:ascii="Calibri" w:cs="Calibri" w:eastAsia="Calibri" w:hAnsi="Calibri"/>
          <w:b/>
          <w:bCs/>
          <w:color w:val="3D6E8F"/>
          <w:sz w:val="24"/>
          <w:szCs w:val="24"/>
        </w:rPr>
        <w:t xml:space="preserve">8.2 Health data</w:t>
      </w:r>
    </w:p>
    <w:p>
      <w:pPr>
        <w:spacing w:after="120" w:line="276"/>
      </w:pPr>
      <w:r>
        <w:rPr>
          <w:rFonts w:ascii="Calibri" w:cs="Calibri" w:eastAsia="Calibri" w:hAnsi="Calibri"/>
          <w:color w:val="222222"/>
          <w:sz w:val="21"/>
          <w:szCs w:val="21"/>
        </w:rPr>
        <w:t xml:space="preserve">Asking a user which medication they take is useful for personalisation and creates real obligations. Medication identity is sensitive health information under several state laws, notably Washington's My Health My Data Act, which carries a private right of action. Collect it only if a feature genuinely requires it, make it optional, say plainly why you are asking, and never use it for ad targeting or share it with an ad platform.</w:t>
      </w:r>
    </w:p>
    <w:p>
      <w:pPr>
        <w:pStyle w:val="Heading2"/>
        <w:spacing w:after="100" w:before="260"/>
      </w:pPr>
      <w:r>
        <w:rPr>
          <w:rFonts w:ascii="Calibri" w:cs="Calibri" w:eastAsia="Calibri" w:hAnsi="Calibri"/>
          <w:b/>
          <w:bCs/>
          <w:color w:val="3D6E8F"/>
          <w:sz w:val="24"/>
          <w:szCs w:val="24"/>
        </w:rPr>
        <w:t xml:space="preserve">8.3 App Store and general marketing</w:t>
      </w:r>
    </w:p>
    <w:p>
      <w:pPr>
        <w:pStyle w:val="ListParagraph"/>
        <w:numPr>
          <w:ilvl w:val="0"/>
          <w:numId w:val="2"/>
        </w:numPr>
        <w:spacing w:after="70" w:line="264"/>
      </w:pPr>
      <w:r>
        <w:rPr>
          <w:rFonts w:ascii="Calibri" w:cs="Calibri" w:eastAsia="Calibri" w:hAnsi="Calibri"/>
          <w:color w:val="222222"/>
          <w:sz w:val="21"/>
          <w:szCs w:val="21"/>
        </w:rPr>
        <w:t xml:space="preserve">Keep medical claims out of the App Store listing. Describe training and nutrition tracking, not treatment or outcomes.</w:t>
      </w:r>
    </w:p>
    <w:p>
      <w:pPr>
        <w:pStyle w:val="ListParagraph"/>
        <w:numPr>
          <w:ilvl w:val="0"/>
          <w:numId w:val="2"/>
        </w:numPr>
        <w:spacing w:after="70" w:line="264"/>
      </w:pPr>
      <w:r>
        <w:rPr>
          <w:rFonts w:ascii="Calibri" w:cs="Calibri" w:eastAsia="Calibri" w:hAnsi="Calibri"/>
          <w:color w:val="222222"/>
          <w:sz w:val="21"/>
          <w:szCs w:val="21"/>
        </w:rPr>
        <w:t xml:space="preserve">Testimonials must reflect typical results or carry a clear disclosure; endorsers with free access must disclose that connection.</w:t>
      </w:r>
    </w:p>
    <w:p>
      <w:pPr>
        <w:pStyle w:val="ListParagraph"/>
        <w:numPr>
          <w:ilvl w:val="0"/>
          <w:numId w:val="2"/>
        </w:numPr>
        <w:spacing w:after="70" w:line="264"/>
      </w:pPr>
      <w:r>
        <w:rPr>
          <w:rFonts w:ascii="Calibri" w:cs="Calibri" w:eastAsia="Calibri" w:hAnsi="Calibri"/>
          <w:color w:val="222222"/>
          <w:sz w:val="21"/>
          <w:szCs w:val="21"/>
        </w:rPr>
        <w:t xml:space="preserve">Drug brand names may appear in genuine editorial context but should stay out of paid creative and out of anything that implies endorsement.</w:t>
      </w:r>
    </w:p>
    <w:p>
      <w:pPr>
        <w:pStyle w:val="ListParagraph"/>
        <w:numPr>
          <w:ilvl w:val="0"/>
          <w:numId w:val="2"/>
        </w:numPr>
        <w:spacing w:after="70" w:line="264"/>
      </w:pPr>
      <w:r>
        <w:rPr>
          <w:rFonts w:ascii="Calibri" w:cs="Calibri" w:eastAsia="Calibri" w:hAnsi="Calibri"/>
          <w:color w:val="222222"/>
          <w:sz w:val="21"/>
          <w:szCs w:val="21"/>
        </w:rPr>
        <w:t xml:space="preserve">Keep an accessible, current privacy policy. Note the open item in your runbook — the policy still references equipment photos only and needs a line covering kitchen-scan images before any public push.</w:t>
      </w:r>
    </w:p>
    <w:p>
      <w:r>
        <w:br w:type="page"/>
      </w:r>
    </w:p>
    <w:p>
      <w:pPr>
        <w:pStyle w:val="Heading1"/>
        <w:pBdr>
          <w:bottom w:val="single" w:color="3D6E8F" w:sz="8" w:space="6"/>
        </w:pBdr>
        <w:spacing w:after="160" w:before="360"/>
      </w:pPr>
      <w:r>
        <w:rPr>
          <w:rFonts w:ascii="Calibri" w:cs="Calibri" w:eastAsia="Calibri" w:hAnsi="Calibri"/>
          <w:b/>
          <w:bCs/>
          <w:color w:val="15304A"/>
          <w:sz w:val="30"/>
          <w:szCs w:val="30"/>
        </w:rPr>
        <w:t xml:space="preserve">9. The 90-day plan</w:t>
      </w:r>
    </w:p>
    <w:p>
      <w:pPr>
        <w:pStyle w:val="Heading2"/>
        <w:spacing w:after="100" w:before="260"/>
      </w:pPr>
      <w:r>
        <w:rPr>
          <w:rFonts w:ascii="Calibri" w:cs="Calibri" w:eastAsia="Calibri" w:hAnsi="Calibri"/>
          <w:b/>
          <w:bCs/>
          <w:color w:val="3D6E8F"/>
          <w:sz w:val="24"/>
          <w:szCs w:val="24"/>
        </w:rPr>
        <w:t xml:space="preserve">Days 1–30 — Build the assets and go quiet</w:t>
      </w:r>
    </w:p>
    <w:tbl>
      <w:tblPr>
        <w:tblW w:type="dxa" w:w="9360"/>
        <w:tblBorders>
          <w:top w:val="single" w:color="C9D6E0" w:sz="2"/>
          <w:left w:val="single" w:color="C9D6E0" w:sz="2"/>
          <w:bottom w:val="single" w:color="C9D6E0" w:sz="2"/>
          <w:right w:val="single" w:color="C9D6E0" w:sz="2"/>
          <w:insideH w:val="single" w:color="D9E2E9" w:sz="2"/>
          <w:insideV w:val="single" w:color="D9E2E9" w:sz="2"/>
        </w:tblBorders>
      </w:tblPr>
      <w:tblGrid>
        <w:gridCol w:w="1800"/>
        <w:gridCol w:w="7560"/>
      </w:tblGrid>
      <w:tr>
        <w:trPr>
          <w:tblHeader/>
        </w:trPr>
        <w:tc>
          <w:tcPr>
            <w:tcW w:type="dxa" w:w="1800"/>
            <w:shd w:fill="15304A"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Workstream</w:t>
            </w:r>
          </w:p>
        </w:tc>
        <w:tc>
          <w:tcPr>
            <w:tcW w:type="dxa" w:w="7560"/>
            <w:shd w:fill="15304A"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Deliverable</w:t>
            </w:r>
          </w:p>
        </w:tc>
      </w:tr>
      <w:tr>
        <w:tc>
          <w:tcPr>
            <w:tcW w:type="dxa" w:w="1800"/>
            <w:shd w:fill="FFFFFF"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Positioning</w:t>
            </w:r>
          </w:p>
        </w:tc>
        <w:tc>
          <w:tcPr>
            <w:tcW w:type="dxa" w:w="756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Rewrite App Store listing, website hero, and screenshots around muscle preservation. Remove any weight-loss claim language.</w:t>
            </w:r>
          </w:p>
        </w:tc>
      </w:tr>
      <w:tr>
        <w:tc>
          <w:tcPr>
            <w:tcW w:type="dxa" w:w="1800"/>
            <w:shd w:fill="F5F8FA"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Provider</w:t>
            </w:r>
          </w:p>
        </w:tc>
        <w:tc>
          <w:tcPr>
            <w:tcW w:type="dxa" w:w="756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One-pager designed and printed (200). Build the 40-clinic target list. Order a QR per clinic.</w:t>
            </w:r>
          </w:p>
        </w:tc>
      </w:tr>
      <w:tr>
        <w:tc>
          <w:tcPr>
            <w:tcW w:type="dxa" w:w="1800"/>
            <w:shd w:fill="FFFFFF"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Social</w:t>
            </w:r>
          </w:p>
        </w:tc>
        <w:tc>
          <w:tcPr>
            <w:tcW w:type="dxa" w:w="756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Create accounts. Join 8–10 Facebook groups and 6 subreddits. Read and answer questions with zero promotion. Build a 30-name creator list.</w:t>
            </w:r>
          </w:p>
        </w:tc>
      </w:tr>
      <w:tr>
        <w:tc>
          <w:tcPr>
            <w:tcW w:type="dxa" w:w="1800"/>
            <w:shd w:fill="F5F8FA"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Content</w:t>
            </w:r>
          </w:p>
        </w:tc>
        <w:tc>
          <w:tcPr>
            <w:tcW w:type="dxa" w:w="756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Film 20 short videos in two sessions. Publish the first three retatrutide explainer pages and stand up the email capture.</w:t>
            </w:r>
          </w:p>
        </w:tc>
      </w:tr>
      <w:tr>
        <w:tc>
          <w:tcPr>
            <w:tcW w:type="dxa" w:w="1800"/>
            <w:shd w:fill="FFFFFF"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Product</w:t>
            </w:r>
          </w:p>
        </w:tc>
        <w:tc>
          <w:tcPr>
            <w:tcW w:type="dxa" w:w="756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Ship the pending TestFlight build. Verify Couch-to-Weights onboarding end to end — it is about to become your most-viewed screen.</w:t>
            </w:r>
          </w:p>
        </w:tc>
      </w:tr>
    </w:tbl>
    <w:p>
      <w:pPr>
        <w:spacing w:after="200"/>
      </w:pPr>
    </w:p>
    <w:p>
      <w:pPr>
        <w:pStyle w:val="Heading2"/>
        <w:spacing w:after="100" w:before="260"/>
      </w:pPr>
      <w:r>
        <w:rPr>
          <w:rFonts w:ascii="Calibri" w:cs="Calibri" w:eastAsia="Calibri" w:hAnsi="Calibri"/>
          <w:b/>
          <w:bCs/>
          <w:color w:val="3D6E8F"/>
          <w:sz w:val="24"/>
          <w:szCs w:val="24"/>
        </w:rPr>
        <w:t xml:space="preserve">Days 31–60 — Start knocking and posting</w:t>
      </w:r>
    </w:p>
    <w:tbl>
      <w:tblPr>
        <w:tblW w:type="dxa" w:w="9360"/>
        <w:tblBorders>
          <w:top w:val="single" w:color="C9D6E0" w:sz="2"/>
          <w:left w:val="single" w:color="C9D6E0" w:sz="2"/>
          <w:bottom w:val="single" w:color="C9D6E0" w:sz="2"/>
          <w:right w:val="single" w:color="C9D6E0" w:sz="2"/>
          <w:insideH w:val="single" w:color="D9E2E9" w:sz="2"/>
          <w:insideV w:val="single" w:color="D9E2E9" w:sz="2"/>
        </w:tblBorders>
      </w:tblPr>
      <w:tblGrid>
        <w:gridCol w:w="1800"/>
        <w:gridCol w:w="7560"/>
      </w:tblGrid>
      <w:tr>
        <w:trPr>
          <w:tblHeader/>
        </w:trPr>
        <w:tc>
          <w:tcPr>
            <w:tcW w:type="dxa" w:w="1800"/>
            <w:shd w:fill="15304A"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Workstream</w:t>
            </w:r>
          </w:p>
        </w:tc>
        <w:tc>
          <w:tcPr>
            <w:tcW w:type="dxa" w:w="7560"/>
            <w:shd w:fill="15304A"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Deliverable</w:t>
            </w:r>
          </w:p>
        </w:tc>
      </w:tr>
      <w:tr>
        <w:tc>
          <w:tcPr>
            <w:tcW w:type="dxa" w:w="1800"/>
            <w:shd w:fill="FFFFFF"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Provider</w:t>
            </w:r>
          </w:p>
        </w:tc>
        <w:tc>
          <w:tcPr>
            <w:tcW w:type="dxa" w:w="756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Walk 40 clinics. Email follow-ups at 48 hours. Book and run 4 lunch demos. Start 2 clinic pilots.</w:t>
            </w:r>
          </w:p>
        </w:tc>
      </w:tr>
      <w:tr>
        <w:tc>
          <w:tcPr>
            <w:tcW w:type="dxa" w:w="1800"/>
            <w:shd w:fill="F5F8FA"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Social</w:t>
            </w:r>
          </w:p>
        </w:tc>
        <w:tc>
          <w:tcPr>
            <w:tcW w:type="dxa" w:w="756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Daily short video on TikTok and Reels. Weekly YouTube long-form. Continue community answering; begin mentioning the app only where directly asked.</w:t>
            </w:r>
          </w:p>
        </w:tc>
      </w:tr>
      <w:tr>
        <w:tc>
          <w:tcPr>
            <w:tcW w:type="dxa" w:w="1800"/>
            <w:shd w:fill="FFFFFF"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Creators</w:t>
            </w:r>
          </w:p>
        </w:tc>
        <w:tc>
          <w:tcPr>
            <w:tcW w:type="dxa" w:w="756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Send 30 free lifetime access codes with the FTC disclosure requirement in writing. Follow up at day 14 for feedback.</w:t>
            </w:r>
          </w:p>
        </w:tc>
      </w:tr>
      <w:tr>
        <w:tc>
          <w:tcPr>
            <w:tcW w:type="dxa" w:w="1800"/>
            <w:shd w:fill="F5F8FA"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Content</w:t>
            </w:r>
          </w:p>
        </w:tc>
        <w:tc>
          <w:tcPr>
            <w:tcW w:type="dxa" w:w="756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Two more retatrutide pages plus the first three muscle-loss explainers. Begin a weekly email to the waitlist.</w:t>
            </w:r>
          </w:p>
        </w:tc>
      </w:tr>
      <w:tr>
        <w:tc>
          <w:tcPr>
            <w:tcW w:type="dxa" w:w="1800"/>
            <w:shd w:fill="FFFFFF"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Measurement</w:t>
            </w:r>
          </w:p>
        </w:tc>
        <w:tc>
          <w:tcPr>
            <w:tcW w:type="dxa" w:w="756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Instrument the funnel: install to program generated to first workout logged to week-two return. Tag every clinic QR separately.</w:t>
            </w:r>
          </w:p>
        </w:tc>
      </w:tr>
    </w:tbl>
    <w:p>
      <w:pPr>
        <w:spacing w:after="200"/>
      </w:pPr>
    </w:p>
    <w:p>
      <w:pPr>
        <w:pStyle w:val="Heading2"/>
        <w:spacing w:after="100" w:before="260"/>
      </w:pPr>
      <w:r>
        <w:rPr>
          <w:rFonts w:ascii="Calibri" w:cs="Calibri" w:eastAsia="Calibri" w:hAnsi="Calibri"/>
          <w:b/>
          <w:bCs/>
          <w:color w:val="3D6E8F"/>
          <w:sz w:val="24"/>
          <w:szCs w:val="24"/>
        </w:rPr>
        <w:t xml:space="preserve">Days 61–90 — Launch</w:t>
      </w:r>
    </w:p>
    <w:tbl>
      <w:tblPr>
        <w:tblW w:type="dxa" w:w="9360"/>
        <w:tblBorders>
          <w:top w:val="single" w:color="C9D6E0" w:sz="2"/>
          <w:left w:val="single" w:color="C9D6E0" w:sz="2"/>
          <w:bottom w:val="single" w:color="C9D6E0" w:sz="2"/>
          <w:right w:val="single" w:color="C9D6E0" w:sz="2"/>
          <w:insideH w:val="single" w:color="D9E2E9" w:sz="2"/>
          <w:insideV w:val="single" w:color="D9E2E9" w:sz="2"/>
        </w:tblBorders>
      </w:tblPr>
      <w:tblGrid>
        <w:gridCol w:w="1800"/>
        <w:gridCol w:w="7560"/>
      </w:tblGrid>
      <w:tr>
        <w:trPr>
          <w:tblHeader/>
        </w:trPr>
        <w:tc>
          <w:tcPr>
            <w:tcW w:type="dxa" w:w="1800"/>
            <w:shd w:fill="15304A"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Workstream</w:t>
            </w:r>
          </w:p>
        </w:tc>
        <w:tc>
          <w:tcPr>
            <w:tcW w:type="dxa" w:w="7560"/>
            <w:shd w:fill="15304A"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Deliverable</w:t>
            </w:r>
          </w:p>
        </w:tc>
      </w:tr>
      <w:tr>
        <w:tc>
          <w:tcPr>
            <w:tcW w:type="dxa" w:w="1800"/>
            <w:shd w:fill="FFFFFF"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Launch</w:t>
            </w:r>
          </w:p>
        </w:tc>
        <w:tc>
          <w:tcPr>
            <w:tcW w:type="dxa" w:w="756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App Store release. Email the full waitlist. Coordinate creator posts in the same 72-hour window. Post the launch story in the communities where you have earned standing — and only those.</w:t>
            </w:r>
          </w:p>
        </w:tc>
      </w:tr>
      <w:tr>
        <w:tc>
          <w:tcPr>
            <w:tcW w:type="dxa" w:w="1800"/>
            <w:shd w:fill="F5F8FA"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Provider</w:t>
            </w:r>
          </w:p>
        </w:tc>
        <w:tc>
          <w:tcPr>
            <w:tcW w:type="dxa" w:w="756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Convert the strongest pilot into a named case study. Use it to open the next 40 clinics and to approach one telehealth prescriber.</w:t>
            </w:r>
          </w:p>
        </w:tc>
      </w:tr>
      <w:tr>
        <w:tc>
          <w:tcPr>
            <w:tcW w:type="dxa" w:w="1800"/>
            <w:shd w:fill="FFFFFF"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Social</w:t>
            </w:r>
          </w:p>
        </w:tc>
        <w:tc>
          <w:tcPr>
            <w:tcW w:type="dxa" w:w="756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Double down on whichever two content formats produced saves and shares. Kill the rest without sentiment.</w:t>
            </w:r>
          </w:p>
        </w:tc>
      </w:tr>
      <w:tr>
        <w:tc>
          <w:tcPr>
            <w:tcW w:type="dxa" w:w="1800"/>
            <w:shd w:fill="F5F8FA"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Paid</w:t>
            </w:r>
          </w:p>
        </w:tc>
        <w:tc>
          <w:tcPr>
            <w:tcW w:type="dxa" w:w="756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Only if organic is converting: a small test budget on the single best-performing organic video. Do not run paid to cold audiences before then.</w:t>
            </w:r>
          </w:p>
        </w:tc>
      </w:tr>
      <w:tr>
        <w:tc>
          <w:tcPr>
            <w:tcW w:type="dxa" w:w="1800"/>
            <w:shd w:fill="FFFFFF"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Review</w:t>
            </w:r>
          </w:p>
        </w:tc>
        <w:tc>
          <w:tcPr>
            <w:tcW w:type="dxa" w:w="756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Full read of the funnel metrics. Decide whether the provider channel or the social channel gets the next quarter of effort — you will not have capacity for both at full intensity.</w:t>
            </w:r>
          </w:p>
        </w:tc>
      </w:tr>
    </w:tbl>
    <w:p>
      <w:pPr>
        <w:spacing w:after="240"/>
      </w:pPr>
    </w:p>
    <w:p>
      <w:pPr>
        <w:pStyle w:val="Heading2"/>
        <w:spacing w:after="100" w:before="260"/>
      </w:pPr>
      <w:r>
        <w:rPr>
          <w:rFonts w:ascii="Calibri" w:cs="Calibri" w:eastAsia="Calibri" w:hAnsi="Calibri"/>
          <w:b/>
          <w:bCs/>
          <w:color w:val="3D6E8F"/>
          <w:sz w:val="24"/>
          <w:szCs w:val="24"/>
        </w:rPr>
        <w:t xml:space="preserve">What to measure — and what to ignore</w:t>
      </w:r>
    </w:p>
    <w:tbl>
      <w:tblPr>
        <w:tblW w:type="dxa" w:w="9360"/>
        <w:tblBorders>
          <w:top w:val="single" w:color="C9D6E0" w:sz="2"/>
          <w:left w:val="single" w:color="C9D6E0" w:sz="2"/>
          <w:bottom w:val="single" w:color="C9D6E0" w:sz="2"/>
          <w:right w:val="single" w:color="C9D6E0" w:sz="2"/>
          <w:insideH w:val="single" w:color="D9E2E9" w:sz="2"/>
          <w:insideV w:val="single" w:color="D9E2E9" w:sz="2"/>
        </w:tblBorders>
      </w:tblPr>
      <w:tblGrid>
        <w:gridCol w:w="4680"/>
        <w:gridCol w:w="4680"/>
      </w:tblGrid>
      <w:tr>
        <w:trPr>
          <w:tblHeader/>
        </w:trPr>
        <w:tc>
          <w:tcPr>
            <w:tcW w:type="dxa" w:w="4680"/>
            <w:shd w:fill="15304A"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Measure this</w:t>
            </w:r>
          </w:p>
        </w:tc>
        <w:tc>
          <w:tcPr>
            <w:tcW w:type="dxa" w:w="4680"/>
            <w:shd w:fill="15304A"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Not this</w:t>
            </w:r>
          </w:p>
        </w:tc>
      </w:tr>
      <w:tr>
        <w:tc>
          <w:tcPr>
            <w:tcW w:type="dxa" w:w="4680"/>
            <w:shd w:fill="FFFFFF"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Waitlist emails, and their eventual install rate</w:t>
            </w:r>
          </w:p>
        </w:tc>
        <w:tc>
          <w:tcPr>
            <w:tcW w:type="dxa" w:w="468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Follower counts</w:t>
            </w:r>
          </w:p>
        </w:tc>
      </w:tr>
      <w:tr>
        <w:tc>
          <w:tcPr>
            <w:tcW w:type="dxa" w:w="4680"/>
            <w:shd w:fill="F5F8FA"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Scans per clinic QR code, by clinic</w:t>
            </w:r>
          </w:p>
        </w:tc>
        <w:tc>
          <w:tcPr>
            <w:tcW w:type="dxa" w:w="468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Impressions</w:t>
            </w:r>
          </w:p>
        </w:tc>
      </w:tr>
      <w:tr>
        <w:tc>
          <w:tcPr>
            <w:tcW w:type="dxa" w:w="4680"/>
            <w:shd w:fill="FFFFFF"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Install to first-workout-logged conversion</w:t>
            </w:r>
          </w:p>
        </w:tc>
        <w:tc>
          <w:tcPr>
            <w:tcW w:type="dxa" w:w="468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Downloads alone</w:t>
            </w:r>
          </w:p>
        </w:tc>
      </w:tr>
      <w:tr>
        <w:tc>
          <w:tcPr>
            <w:tcW w:type="dxa" w:w="4680"/>
            <w:shd w:fill="F5F8FA"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Week-two return rate — the real product test</w:t>
            </w:r>
          </w:p>
        </w:tc>
        <w:tc>
          <w:tcPr>
            <w:tcW w:type="dxa" w:w="468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Time on site</w:t>
            </w:r>
          </w:p>
        </w:tc>
      </w:tr>
      <w:tr>
        <w:tc>
          <w:tcPr>
            <w:tcW w:type="dxa" w:w="4680"/>
            <w:shd w:fill="FFFFFF"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Clinics that refer more than once</w:t>
            </w:r>
          </w:p>
        </w:tc>
        <w:tc>
          <w:tcPr>
            <w:tcW w:type="dxa" w:w="4680"/>
            <w:shd w:fill="FFFFFF"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Meetings taken</w:t>
            </w:r>
          </w:p>
        </w:tc>
      </w:tr>
      <w:tr>
        <w:tc>
          <w:tcPr>
            <w:tcW w:type="dxa" w:w="4680"/>
            <w:shd w:fill="F5F8FA" w:val="clear"/>
            <w:tcMar>
              <w:top w:type="dxa" w:w="90"/>
              <w:left w:type="dxa" w:w="120"/>
              <w:bottom w:type="dxa" w:w="90"/>
              <w:right w:type="dxa" w:w="120"/>
            </w:tcMar>
          </w:tcPr>
          <w:p>
            <w:pPr>
              <w:spacing w:after="0" w:line="252"/>
            </w:pPr>
            <w:r>
              <w:rPr>
                <w:rFonts w:ascii="Calibri" w:cs="Calibri" w:eastAsia="Calibri" w:hAnsi="Calibri"/>
                <w:b/>
                <w:bCs/>
                <w:color w:val="222222"/>
                <w:sz w:val="19"/>
                <w:szCs w:val="19"/>
              </w:rPr>
              <w:t xml:space="preserve">Saves and shares on social — intent, not applause</w:t>
            </w:r>
          </w:p>
        </w:tc>
        <w:tc>
          <w:tcPr>
            <w:tcW w:type="dxa" w:w="4680"/>
            <w:shd w:fill="F5F8FA" w:val="clear"/>
            <w:tcMar>
              <w:top w:type="dxa" w:w="90"/>
              <w:left w:type="dxa" w:w="120"/>
              <w:bottom w:type="dxa" w:w="90"/>
              <w:right w:type="dxa" w:w="120"/>
            </w:tcMar>
          </w:tcPr>
          <w:p>
            <w:pPr>
              <w:spacing w:after="0" w:line="252"/>
            </w:pPr>
            <w:r>
              <w:rPr>
                <w:rFonts w:ascii="Calibri" w:cs="Calibri" w:eastAsia="Calibri" w:hAnsi="Calibri"/>
                <w:b w:val="false"/>
                <w:bCs w:val="false"/>
                <w:color w:val="222222"/>
                <w:sz w:val="19"/>
                <w:szCs w:val="19"/>
              </w:rPr>
              <w:t xml:space="preserve">Likes</w:t>
            </w:r>
          </w:p>
        </w:tc>
      </w:tr>
    </w:tbl>
    <w:p>
      <w:r>
        <w:br w:type="page"/>
      </w:r>
    </w:p>
    <w:p>
      <w:pPr>
        <w:pStyle w:val="Heading1"/>
        <w:pBdr>
          <w:bottom w:val="single" w:color="3D6E8F" w:sz="8" w:space="6"/>
        </w:pBdr>
        <w:spacing w:after="160" w:before="360"/>
      </w:pPr>
      <w:r>
        <w:rPr>
          <w:rFonts w:ascii="Calibri" w:cs="Calibri" w:eastAsia="Calibri" w:hAnsi="Calibri"/>
          <w:b/>
          <w:bCs/>
          <w:color w:val="15304A"/>
          <w:sz w:val="30"/>
          <w:szCs w:val="30"/>
        </w:rPr>
        <w:t xml:space="preserve">Appendix A — Ready-to-use copy</w:t>
      </w:r>
    </w:p>
    <w:p>
      <w:pPr>
        <w:spacing w:after="120" w:line="276"/>
      </w:pPr>
      <w:r>
        <w:rPr>
          <w:rFonts w:ascii="Calibri" w:cs="Calibri" w:eastAsia="Calibri" w:hAnsi="Calibri"/>
          <w:i/>
          <w:iCs/>
          <w:color w:val="5A5A5A"/>
          <w:sz w:val="21"/>
          <w:szCs w:val="21"/>
        </w:rPr>
        <w:t xml:space="preserve">Edit for voice, but the structure and the compliance-safe phrasing are deliberate.</w:t>
      </w:r>
    </w:p>
    <w:p>
      <w:pPr>
        <w:pStyle w:val="Heading2"/>
        <w:spacing w:after="100" w:before="260"/>
      </w:pPr>
      <w:r>
        <w:rPr>
          <w:rFonts w:ascii="Calibri" w:cs="Calibri" w:eastAsia="Calibri" w:hAnsi="Calibri"/>
          <w:b/>
          <w:bCs/>
          <w:color w:val="3D6E8F"/>
          <w:sz w:val="24"/>
          <w:szCs w:val="24"/>
        </w:rPr>
        <w:t xml:space="preserve">A1. Clinic one-pager</w:t>
      </w:r>
    </w:p>
    <w:tbl>
      <w:tblPr>
        <w:tblW w:type="dxa" w:w="9360"/>
        <w:tblBorders>
          <w:top w:val="single" w:color="C9D6E0" w:sz="2"/>
          <w:left w:val="single" w:color="C9D6E0" w:sz="2"/>
          <w:bottom w:val="single" w:color="C9D6E0" w:sz="2"/>
          <w:right w:val="single" w:color="C9D6E0" w:sz="2"/>
          <w:insideH w:val="none"/>
          <w:insideV w:val="none"/>
        </w:tblBorders>
      </w:tblPr>
      <w:tblGrid>
        <w:gridCol w:w="9360"/>
      </w:tblGrid>
      <w:tr>
        <w:tc>
          <w:tcPr>
            <w:tcW w:type="dxa" w:w="9360"/>
            <w:shd w:fill="FAFAF7" w:val="clear"/>
            <w:tcMar>
              <w:top w:type="dxa" w:w="150"/>
              <w:left w:type="dxa" w:w="180"/>
              <w:bottom w:type="dxa" w:w="150"/>
              <w:right w:type="dxa" w:w="180"/>
            </w:tcMar>
          </w:tcPr>
          <w:p>
            <w:pPr>
              <w:spacing w:after="100" w:line="264"/>
            </w:pPr>
            <w:r>
              <w:rPr>
                <w:rFonts w:ascii="Calibri" w:cs="Calibri" w:eastAsia="Calibri" w:hAnsi="Calibri"/>
                <w:i w:val="false"/>
                <w:iCs w:val="false"/>
                <w:color w:val="2B2B2B"/>
                <w:sz w:val="20"/>
                <w:szCs w:val="20"/>
              </w:rPr>
              <w:t xml:space="preserve">YOUR PATIENTS ARE ASKING ABOUT MUSCLE LOSS. HERE IS SOMETHING TO HAND THEM.</w:t>
            </w:r>
          </w:p>
          <w:p>
            <w:pPr>
              <w:spacing w:after="100" w:line="264"/>
            </w:pPr>
            <w:r>
              <w:rPr>
                <w:rFonts w:ascii="Calibri" w:cs="Calibri" w:eastAsia="Calibri" w:hAnsi="Calibri"/>
                <w:i w:val="false"/>
                <w:iCs w:val="false"/>
                <w:color w:val="2B2B2B"/>
                <w:sz w:val="20"/>
                <w:szCs w:val="20"/>
              </w:rPr>
              <w:t xml:space="preserve"/>
            </w:r>
          </w:p>
          <w:p>
            <w:pPr>
              <w:spacing w:after="100" w:line="264"/>
            </w:pPr>
            <w:r>
              <w:rPr>
                <w:rFonts w:ascii="Calibri" w:cs="Calibri" w:eastAsia="Calibri" w:hAnsi="Calibri"/>
                <w:i w:val="false"/>
                <w:iCs w:val="false"/>
                <w:color w:val="2B2B2B"/>
                <w:sz w:val="20"/>
                <w:szCs w:val="20"/>
              </w:rPr>
              <w:t xml:space="preserve">Between a quarter and nearly half of the weight lost on GLP-1 therapy can come from lean tissue. Resistance training with adequate protein intake reduces that loss substantially — but most patients have never followed a training program, do not belong to a gym, and do not know where to start.</w:t>
            </w:r>
          </w:p>
          <w:p>
            <w:pPr>
              <w:spacing w:after="100" w:line="264"/>
            </w:pPr>
            <w:r>
              <w:rPr>
                <w:rFonts w:ascii="Calibri" w:cs="Calibri" w:eastAsia="Calibri" w:hAnsi="Calibri"/>
                <w:i w:val="false"/>
                <w:iCs w:val="false"/>
                <w:color w:val="2B2B2B"/>
                <w:sz w:val="20"/>
                <w:szCs w:val="20"/>
              </w:rPr>
              <w:t xml:space="preserve"/>
            </w:r>
          </w:p>
          <w:p>
            <w:pPr>
              <w:spacing w:after="100" w:line="264"/>
            </w:pPr>
            <w:r>
              <w:rPr>
                <w:rFonts w:ascii="Calibri" w:cs="Calibri" w:eastAsia="Calibri" w:hAnsi="Calibri"/>
                <w:i w:val="false"/>
                <w:iCs w:val="false"/>
                <w:color w:val="2B2B2B"/>
                <w:sz w:val="20"/>
                <w:szCs w:val="20"/>
              </w:rPr>
              <w:t xml:space="preserve">GLP STEEL — free for your patients</w:t>
            </w:r>
          </w:p>
          <w:p>
            <w:pPr>
              <w:spacing w:after="100" w:line="264"/>
            </w:pPr>
            <w:r>
              <w:rPr>
                <w:rFonts w:ascii="Calibri" w:cs="Calibri" w:eastAsia="Calibri" w:hAnsi="Calibri"/>
                <w:i w:val="false"/>
                <w:iCs w:val="false"/>
                <w:color w:val="2B2B2B"/>
                <w:sz w:val="20"/>
                <w:szCs w:val="20"/>
              </w:rPr>
              <w:t xml:space="preserve"/>
            </w:r>
          </w:p>
          <w:p>
            <w:pPr>
              <w:spacing w:after="100" w:line="264"/>
            </w:pPr>
            <w:r>
              <w:rPr>
                <w:rFonts w:ascii="Calibri" w:cs="Calibri" w:eastAsia="Calibri" w:hAnsi="Calibri"/>
                <w:i w:val="false"/>
                <w:iCs w:val="false"/>
                <w:color w:val="2B2B2B"/>
                <w:sz w:val="20"/>
                <w:szCs w:val="20"/>
              </w:rPr>
              <w:t xml:space="preserve">· They photograph whatever equipment they already own. Two dumbbells, a band, or nothing at all.</w:t>
            </w:r>
          </w:p>
          <w:p>
            <w:pPr>
              <w:spacing w:after="100" w:line="264"/>
            </w:pPr>
            <w:r>
              <w:rPr>
                <w:rFonts w:ascii="Calibri" w:cs="Calibri" w:eastAsia="Calibri" w:hAnsi="Calibri"/>
                <w:i w:val="false"/>
                <w:iCs w:val="false"/>
                <w:color w:val="2B2B2B"/>
                <w:sz w:val="20"/>
                <w:szCs w:val="20"/>
              </w:rPr>
              <w:t xml:space="preserve">· The app builds a resistance program around it, sized to the time they have.</w:t>
            </w:r>
          </w:p>
          <w:p>
            <w:pPr>
              <w:spacing w:after="100" w:line="264"/>
            </w:pPr>
            <w:r>
              <w:rPr>
                <w:rFonts w:ascii="Calibri" w:cs="Calibri" w:eastAsia="Calibri" w:hAnsi="Calibri"/>
                <w:i w:val="false"/>
                <w:iCs w:val="false"/>
                <w:color w:val="2B2B2B"/>
                <w:sz w:val="20"/>
                <w:szCs w:val="20"/>
              </w:rPr>
              <w:t xml:space="preserve">· Beginners start at ONE exercise in week one, adding one movement per week over six weeks.</w:t>
            </w:r>
          </w:p>
          <w:p>
            <w:pPr>
              <w:spacing w:after="100" w:line="264"/>
            </w:pPr>
            <w:r>
              <w:rPr>
                <w:rFonts w:ascii="Calibri" w:cs="Calibri" w:eastAsia="Calibri" w:hAnsi="Calibri"/>
                <w:i w:val="false"/>
                <w:iCs w:val="false"/>
                <w:color w:val="2B2B2B"/>
                <w:sz w:val="20"/>
                <w:szCs w:val="20"/>
              </w:rPr>
              <w:t xml:space="preserve">· Daily protein target and logging, designed for suppressed appetite.</w:t>
            </w:r>
          </w:p>
          <w:p>
            <w:pPr>
              <w:spacing w:after="100" w:line="264"/>
            </w:pPr>
            <w:r>
              <w:rPr>
                <w:rFonts w:ascii="Calibri" w:cs="Calibri" w:eastAsia="Calibri" w:hAnsi="Calibri"/>
                <w:i w:val="false"/>
                <w:iCs w:val="false"/>
                <w:color w:val="2B2B2B"/>
                <w:sz w:val="20"/>
                <w:szCs w:val="20"/>
              </w:rPr>
              <w:t xml:space="preserve">· Progress tracked by strength, not by the scale.</w:t>
            </w:r>
          </w:p>
          <w:p>
            <w:pPr>
              <w:spacing w:after="100" w:line="264"/>
            </w:pPr>
            <w:r>
              <w:rPr>
                <w:rFonts w:ascii="Calibri" w:cs="Calibri" w:eastAsia="Calibri" w:hAnsi="Calibri"/>
                <w:i w:val="false"/>
                <w:iCs w:val="false"/>
                <w:color w:val="2B2B2B"/>
                <w:sz w:val="20"/>
                <w:szCs w:val="20"/>
              </w:rPr>
              <w:t xml:space="preserve"/>
            </w:r>
          </w:p>
          <w:p>
            <w:pPr>
              <w:spacing w:after="100" w:line="264"/>
            </w:pPr>
            <w:r>
              <w:rPr>
                <w:rFonts w:ascii="Calibri" w:cs="Calibri" w:eastAsia="Calibri" w:hAnsi="Calibri"/>
                <w:i w:val="false"/>
                <w:iCs w:val="false"/>
                <w:color w:val="2B2B2B"/>
                <w:sz w:val="20"/>
                <w:szCs w:val="20"/>
              </w:rPr>
              <w:t xml:space="preserve">GLP Steel does not provide medical advice and does not advise on medication. It is a training and nutrition tool intended to support the care you are already providing.</w:t>
            </w:r>
          </w:p>
          <w:p>
            <w:pPr>
              <w:spacing w:after="100" w:line="264"/>
            </w:pPr>
            <w:r>
              <w:rPr>
                <w:rFonts w:ascii="Calibri" w:cs="Calibri" w:eastAsia="Calibri" w:hAnsi="Calibri"/>
                <w:i w:val="false"/>
                <w:iCs w:val="false"/>
                <w:color w:val="2B2B2B"/>
                <w:sz w:val="20"/>
                <w:szCs w:val="20"/>
              </w:rPr>
              <w:t xml:space="preserve"/>
            </w:r>
          </w:p>
          <w:p>
            <w:pPr>
              <w:spacing w:after="100" w:line="264"/>
            </w:pPr>
            <w:r>
              <w:rPr>
                <w:rFonts w:ascii="Calibri" w:cs="Calibri" w:eastAsia="Calibri" w:hAnsi="Calibri"/>
                <w:i w:val="false"/>
                <w:iCs w:val="false"/>
                <w:color w:val="2B2B2B"/>
                <w:sz w:val="20"/>
                <w:szCs w:val="20"/>
              </w:rPr>
              <w:t xml:space="preserve">No cost to your practice. No cost to your patients. No data sharing required.</w:t>
            </w:r>
          </w:p>
          <w:p>
            <w:pPr>
              <w:spacing w:after="100" w:line="264"/>
            </w:pPr>
            <w:r>
              <w:rPr>
                <w:rFonts w:ascii="Calibri" w:cs="Calibri" w:eastAsia="Calibri" w:hAnsi="Calibri"/>
                <w:i w:val="false"/>
                <w:iCs w:val="false"/>
                <w:color w:val="2B2B2B"/>
                <w:sz w:val="20"/>
                <w:szCs w:val="20"/>
              </w:rPr>
              <w:t xml:space="preserve"/>
            </w:r>
          </w:p>
          <w:p>
            <w:pPr>
              <w:spacing w:after="0" w:line="264"/>
            </w:pPr>
            <w:r>
              <w:rPr>
                <w:rFonts w:ascii="Calibri" w:cs="Calibri" w:eastAsia="Calibri" w:hAnsi="Calibri"/>
                <w:i/>
                <w:iCs/>
                <w:color w:val="2B2B2B"/>
                <w:sz w:val="20"/>
                <w:szCs w:val="20"/>
              </w:rPr>
              <w:t xml:space="preserve">[QR CODE]        Questions: hello@glpsteel.com        glpsteel.com</w:t>
            </w:r>
          </w:p>
        </w:tc>
      </w:tr>
    </w:tbl>
    <w:p>
      <w:pPr>
        <w:spacing w:after="200"/>
      </w:pPr>
    </w:p>
    <w:p>
      <w:pPr>
        <w:pStyle w:val="Heading2"/>
        <w:spacing w:after="100" w:before="260"/>
      </w:pPr>
      <w:r>
        <w:rPr>
          <w:rFonts w:ascii="Calibri" w:cs="Calibri" w:eastAsia="Calibri" w:hAnsi="Calibri"/>
          <w:b/>
          <w:bCs/>
          <w:color w:val="3D6E8F"/>
          <w:sz w:val="24"/>
          <w:szCs w:val="24"/>
        </w:rPr>
        <w:t xml:space="preserve">A2. Cold email to a clinic — after a walk-in</w:t>
      </w:r>
    </w:p>
    <w:tbl>
      <w:tblPr>
        <w:tblW w:type="dxa" w:w="9360"/>
        <w:tblBorders>
          <w:top w:val="single" w:color="C9D6E0" w:sz="2"/>
          <w:left w:val="single" w:color="C9D6E0" w:sz="2"/>
          <w:bottom w:val="single" w:color="C9D6E0" w:sz="2"/>
          <w:right w:val="single" w:color="C9D6E0" w:sz="2"/>
          <w:insideH w:val="none"/>
          <w:insideV w:val="none"/>
        </w:tblBorders>
      </w:tblPr>
      <w:tblGrid>
        <w:gridCol w:w="9360"/>
      </w:tblGrid>
      <w:tr>
        <w:tc>
          <w:tcPr>
            <w:tcW w:type="dxa" w:w="9360"/>
            <w:shd w:fill="FAFAF7" w:val="clear"/>
            <w:tcMar>
              <w:top w:type="dxa" w:w="150"/>
              <w:left w:type="dxa" w:w="180"/>
              <w:bottom w:type="dxa" w:w="150"/>
              <w:right w:type="dxa" w:w="180"/>
            </w:tcMar>
          </w:tcPr>
          <w:p>
            <w:pPr>
              <w:spacing w:after="100" w:line="264"/>
            </w:pPr>
            <w:r>
              <w:rPr>
                <w:rFonts w:ascii="Calibri" w:cs="Calibri" w:eastAsia="Calibri" w:hAnsi="Calibri"/>
                <w:i w:val="false"/>
                <w:iCs w:val="false"/>
                <w:color w:val="2B2B2B"/>
                <w:sz w:val="20"/>
                <w:szCs w:val="20"/>
              </w:rPr>
              <w:t xml:space="preserve">Subject: The muscle-loss handout I left Tuesday</w:t>
            </w:r>
          </w:p>
          <w:p>
            <w:pPr>
              <w:spacing w:after="100" w:line="264"/>
            </w:pPr>
            <w:r>
              <w:rPr>
                <w:rFonts w:ascii="Calibri" w:cs="Calibri" w:eastAsia="Calibri" w:hAnsi="Calibri"/>
                <w:i w:val="false"/>
                <w:iCs w:val="false"/>
                <w:color w:val="2B2B2B"/>
                <w:sz w:val="20"/>
                <w:szCs w:val="20"/>
              </w:rPr>
              <w:t xml:space="preserve"/>
            </w:r>
          </w:p>
          <w:p>
            <w:pPr>
              <w:spacing w:after="100" w:line="264"/>
            </w:pPr>
            <w:r>
              <w:rPr>
                <w:rFonts w:ascii="Calibri" w:cs="Calibri" w:eastAsia="Calibri" w:hAnsi="Calibri"/>
                <w:i w:val="false"/>
                <w:iCs w:val="false"/>
                <w:color w:val="2B2B2B"/>
                <w:sz w:val="20"/>
                <w:szCs w:val="20"/>
              </w:rPr>
              <w:t xml:space="preserve">Hi [NAME],</w:t>
            </w:r>
          </w:p>
          <w:p>
            <w:pPr>
              <w:spacing w:after="100" w:line="264"/>
            </w:pPr>
            <w:r>
              <w:rPr>
                <w:rFonts w:ascii="Calibri" w:cs="Calibri" w:eastAsia="Calibri" w:hAnsi="Calibri"/>
                <w:i w:val="false"/>
                <w:iCs w:val="false"/>
                <w:color w:val="2B2B2B"/>
                <w:sz w:val="20"/>
                <w:szCs w:val="20"/>
              </w:rPr>
              <w:t xml:space="preserve"/>
            </w:r>
          </w:p>
          <w:p>
            <w:pPr>
              <w:spacing w:after="100" w:line="264"/>
            </w:pPr>
            <w:r>
              <w:rPr>
                <w:rFonts w:ascii="Calibri" w:cs="Calibri" w:eastAsia="Calibri" w:hAnsi="Calibri"/>
                <w:i w:val="false"/>
                <w:iCs w:val="false"/>
                <w:color w:val="2B2B2B"/>
                <w:sz w:val="20"/>
                <w:szCs w:val="20"/>
              </w:rPr>
              <w:t xml:space="preserve">I stopped by Tuesday afternoon and left a one-page handout with your front desk about lean-mass loss on GLP-1 therapy.</w:t>
            </w:r>
          </w:p>
          <w:p>
            <w:pPr>
              <w:spacing w:after="100" w:line="264"/>
            </w:pPr>
            <w:r>
              <w:rPr>
                <w:rFonts w:ascii="Calibri" w:cs="Calibri" w:eastAsia="Calibri" w:hAnsi="Calibri"/>
                <w:i w:val="false"/>
                <w:iCs w:val="false"/>
                <w:color w:val="2B2B2B"/>
                <w:sz w:val="20"/>
                <w:szCs w:val="20"/>
              </w:rPr>
              <w:t xml:space="preserve"/>
            </w:r>
          </w:p>
          <w:p>
            <w:pPr>
              <w:spacing w:after="100" w:line="264"/>
            </w:pPr>
            <w:r>
              <w:rPr>
                <w:rFonts w:ascii="Calibri" w:cs="Calibri" w:eastAsia="Calibri" w:hAnsi="Calibri"/>
                <w:i w:val="false"/>
                <w:iCs w:val="false"/>
                <w:color w:val="2B2B2B"/>
                <w:sz w:val="20"/>
                <w:szCs w:val="20"/>
              </w:rPr>
              <w:t xml:space="preserve">The short version: your patients are asking whether they are losing muscle, and the honest answer involves resistance training and protein — but most of them have never lifted and will not join a gym. We built an app that photographs whatever equipment someone already owns, builds a program around it, and starts beginners at a single exercise in week one.</w:t>
            </w:r>
          </w:p>
          <w:p>
            <w:pPr>
              <w:spacing w:after="100" w:line="264"/>
            </w:pPr>
            <w:r>
              <w:rPr>
                <w:rFonts w:ascii="Calibri" w:cs="Calibri" w:eastAsia="Calibri" w:hAnsi="Calibri"/>
                <w:i w:val="false"/>
                <w:iCs w:val="false"/>
                <w:color w:val="2B2B2B"/>
                <w:sz w:val="20"/>
                <w:szCs w:val="20"/>
              </w:rPr>
              <w:t xml:space="preserve"/>
            </w:r>
          </w:p>
          <w:p>
            <w:pPr>
              <w:spacing w:after="100" w:line="264"/>
            </w:pPr>
            <w:r>
              <w:rPr>
                <w:rFonts w:ascii="Calibri" w:cs="Calibri" w:eastAsia="Calibri" w:hAnsi="Calibri"/>
                <w:i w:val="false"/>
                <w:iCs w:val="false"/>
                <w:color w:val="2B2B2B"/>
                <w:sz w:val="20"/>
                <w:szCs w:val="20"/>
              </w:rPr>
              <w:t xml:space="preserve">It is free for your patients, there is no cost or commitment for the practice, and nothing needs to be integrated — it is a handout with a QR code.</w:t>
            </w:r>
          </w:p>
          <w:p>
            <w:pPr>
              <w:spacing w:after="100" w:line="264"/>
            </w:pPr>
            <w:r>
              <w:rPr>
                <w:rFonts w:ascii="Calibri" w:cs="Calibri" w:eastAsia="Calibri" w:hAnsi="Calibri"/>
                <w:i w:val="false"/>
                <w:iCs w:val="false"/>
                <w:color w:val="2B2B2B"/>
                <w:sz w:val="20"/>
                <w:szCs w:val="20"/>
              </w:rPr>
              <w:t xml:space="preserve"/>
            </w:r>
          </w:p>
          <w:p>
            <w:pPr>
              <w:spacing w:after="100" w:line="264"/>
            </w:pPr>
            <w:r>
              <w:rPr>
                <w:rFonts w:ascii="Calibri" w:cs="Calibri" w:eastAsia="Calibri" w:hAnsi="Calibri"/>
                <w:i w:val="false"/>
                <w:iCs w:val="false"/>
                <w:color w:val="2B2B2B"/>
                <w:sz w:val="20"/>
                <w:szCs w:val="20"/>
              </w:rPr>
              <w:t xml:space="preserve">Could I bring lunch one day in the next two weeks and show you in fifteen minutes? Happy to demo it on whatever equipment you have in the office.</w:t>
            </w:r>
          </w:p>
          <w:p>
            <w:pPr>
              <w:spacing w:after="100" w:line="264"/>
            </w:pPr>
            <w:r>
              <w:rPr>
                <w:rFonts w:ascii="Calibri" w:cs="Calibri" w:eastAsia="Calibri" w:hAnsi="Calibri"/>
                <w:i w:val="false"/>
                <w:iCs w:val="false"/>
                <w:color w:val="2B2B2B"/>
                <w:sz w:val="20"/>
                <w:szCs w:val="20"/>
              </w:rPr>
              <w:t xml:space="preserve"/>
            </w:r>
          </w:p>
          <w:p>
            <w:pPr>
              <w:spacing w:after="100" w:line="264"/>
            </w:pPr>
            <w:r>
              <w:rPr>
                <w:rFonts w:ascii="Calibri" w:cs="Calibri" w:eastAsia="Calibri" w:hAnsi="Calibri"/>
                <w:i/>
                <w:iCs/>
                <w:color w:val="2B2B2B"/>
                <w:sz w:val="20"/>
                <w:szCs w:val="20"/>
              </w:rPr>
              <w:t xml:space="preserve">[NAME]</w:t>
            </w:r>
          </w:p>
          <w:p>
            <w:pPr>
              <w:spacing w:after="0" w:line="264"/>
            </w:pPr>
            <w:r>
              <w:rPr>
                <w:rFonts w:ascii="Calibri" w:cs="Calibri" w:eastAsia="Calibri" w:hAnsi="Calibri"/>
                <w:i w:val="false"/>
                <w:iCs w:val="false"/>
                <w:color w:val="2B2B2B"/>
                <w:sz w:val="20"/>
                <w:szCs w:val="20"/>
              </w:rPr>
              <w:t xml:space="preserve">GLP Steel · glpsteel.com</w:t>
            </w:r>
          </w:p>
        </w:tc>
      </w:tr>
    </w:tbl>
    <w:p>
      <w:pPr>
        <w:spacing w:after="200"/>
      </w:pPr>
    </w:p>
    <w:p>
      <w:pPr>
        <w:pStyle w:val="Heading2"/>
        <w:spacing w:after="100" w:before="260"/>
      </w:pPr>
      <w:r>
        <w:rPr>
          <w:rFonts w:ascii="Calibri" w:cs="Calibri" w:eastAsia="Calibri" w:hAnsi="Calibri"/>
          <w:b/>
          <w:bCs/>
          <w:color w:val="3D6E8F"/>
          <w:sz w:val="24"/>
          <w:szCs w:val="24"/>
        </w:rPr>
        <w:t xml:space="preserve">A3. LinkedIn message to an NP or PA in weight management</w:t>
      </w:r>
    </w:p>
    <w:tbl>
      <w:tblPr>
        <w:tblW w:type="dxa" w:w="9360"/>
        <w:tblBorders>
          <w:top w:val="single" w:color="C9D6E0" w:sz="2"/>
          <w:left w:val="single" w:color="C9D6E0" w:sz="2"/>
          <w:bottom w:val="single" w:color="C9D6E0" w:sz="2"/>
          <w:right w:val="single" w:color="C9D6E0" w:sz="2"/>
          <w:insideH w:val="none"/>
          <w:insideV w:val="none"/>
        </w:tblBorders>
      </w:tblPr>
      <w:tblGrid>
        <w:gridCol w:w="9360"/>
      </w:tblGrid>
      <w:tr>
        <w:tc>
          <w:tcPr>
            <w:tcW w:type="dxa" w:w="9360"/>
            <w:shd w:fill="FAFAF7" w:val="clear"/>
            <w:tcMar>
              <w:top w:type="dxa" w:w="150"/>
              <w:left w:type="dxa" w:w="180"/>
              <w:bottom w:type="dxa" w:w="150"/>
              <w:right w:type="dxa" w:w="180"/>
            </w:tcMar>
          </w:tcPr>
          <w:p>
            <w:pPr>
              <w:spacing w:after="100" w:line="264"/>
            </w:pPr>
            <w:r>
              <w:rPr>
                <w:rFonts w:ascii="Calibri" w:cs="Calibri" w:eastAsia="Calibri" w:hAnsi="Calibri"/>
                <w:i w:val="false"/>
                <w:iCs w:val="false"/>
                <w:color w:val="2B2B2B"/>
                <w:sz w:val="20"/>
                <w:szCs w:val="20"/>
              </w:rPr>
              <w:t xml:space="preserve">Hi [NAME] — you see far more GLP-1 patients than most physicians do, so I wanted to ask you rather than them.</w:t>
            </w:r>
          </w:p>
          <w:p>
            <w:pPr>
              <w:spacing w:after="100" w:line="264"/>
            </w:pPr>
            <w:r>
              <w:rPr>
                <w:rFonts w:ascii="Calibri" w:cs="Calibri" w:eastAsia="Calibri" w:hAnsi="Calibri"/>
                <w:i w:val="false"/>
                <w:iCs w:val="false"/>
                <w:color w:val="2B2B2B"/>
                <w:sz w:val="20"/>
                <w:szCs w:val="20"/>
              </w:rPr>
              <w:t xml:space="preserve"/>
            </w:r>
          </w:p>
          <w:p>
            <w:pPr>
              <w:spacing w:after="100" w:line="264"/>
            </w:pPr>
            <w:r>
              <w:rPr>
                <w:rFonts w:ascii="Calibri" w:cs="Calibri" w:eastAsia="Calibri" w:hAnsi="Calibri"/>
                <w:i w:val="false"/>
                <w:iCs w:val="false"/>
                <w:color w:val="2B2B2B"/>
                <w:sz w:val="20"/>
                <w:szCs w:val="20"/>
              </w:rPr>
              <w:t xml:space="preserve">When a patient asks whether they are losing muscle, what do you actually give them? We built a free app that turns whatever equipment someone owns into a resistance program and starts complete beginners at one exercise a week. I am trying to find out whether it is genuinely useful in clinic or whether it solves a problem I have imagined.</w:t>
            </w:r>
          </w:p>
          <w:p>
            <w:pPr>
              <w:spacing w:after="100" w:line="264"/>
            </w:pPr>
            <w:r>
              <w:rPr>
                <w:rFonts w:ascii="Calibri" w:cs="Calibri" w:eastAsia="Calibri" w:hAnsi="Calibri"/>
                <w:i w:val="false"/>
                <w:iCs w:val="false"/>
                <w:color w:val="2B2B2B"/>
                <w:sz w:val="20"/>
                <w:szCs w:val="20"/>
              </w:rPr>
              <w:t xml:space="preserve"/>
            </w:r>
          </w:p>
          <w:p>
            <w:pPr>
              <w:spacing w:after="0" w:line="264"/>
            </w:pPr>
            <w:r>
              <w:rPr>
                <w:rFonts w:ascii="Calibri" w:cs="Calibri" w:eastAsia="Calibri" w:hAnsi="Calibri"/>
                <w:i w:val="false"/>
                <w:iCs w:val="false"/>
                <w:color w:val="2B2B2B"/>
                <w:sz w:val="20"/>
                <w:szCs w:val="20"/>
              </w:rPr>
              <w:t xml:space="preserve">No pitch — I would value ten minutes of honest criticism. Would you be open to that?</w:t>
            </w:r>
          </w:p>
        </w:tc>
      </w:tr>
    </w:tbl>
    <w:p>
      <w:pPr>
        <w:spacing w:after="200"/>
      </w:pPr>
    </w:p>
    <w:p>
      <w:pPr>
        <w:pStyle w:val="Heading2"/>
        <w:spacing w:after="100" w:before="260"/>
      </w:pPr>
      <w:r>
        <w:rPr>
          <w:rFonts w:ascii="Calibri" w:cs="Calibri" w:eastAsia="Calibri" w:hAnsi="Calibri"/>
          <w:b/>
          <w:bCs/>
          <w:color w:val="3D6E8F"/>
          <w:sz w:val="24"/>
          <w:szCs w:val="24"/>
        </w:rPr>
        <w:t xml:space="preserve">A4. Reddit and Facebook reply template</w:t>
      </w:r>
    </w:p>
    <w:p>
      <w:pPr>
        <w:spacing w:after="120" w:line="276"/>
      </w:pPr>
      <w:r>
        <w:rPr>
          <w:rFonts w:ascii="Calibri" w:cs="Calibri" w:eastAsia="Calibri" w:hAnsi="Calibri"/>
          <w:i/>
          <w:iCs/>
          <w:color w:val="5A5A5A"/>
          <w:sz w:val="21"/>
          <w:szCs w:val="21"/>
        </w:rPr>
        <w:t xml:space="preserve">For use only after you have built standing in the community. Answer first, mention the product last, and only when directly relevant.</w:t>
      </w:r>
    </w:p>
    <w:tbl>
      <w:tblPr>
        <w:tblW w:type="dxa" w:w="9360"/>
        <w:tblBorders>
          <w:top w:val="single" w:color="C9D6E0" w:sz="2"/>
          <w:left w:val="single" w:color="C9D6E0" w:sz="2"/>
          <w:bottom w:val="single" w:color="C9D6E0" w:sz="2"/>
          <w:right w:val="single" w:color="C9D6E0" w:sz="2"/>
          <w:insideH w:val="none"/>
          <w:insideV w:val="none"/>
        </w:tblBorders>
      </w:tblPr>
      <w:tblGrid>
        <w:gridCol w:w="9360"/>
      </w:tblGrid>
      <w:tr>
        <w:tc>
          <w:tcPr>
            <w:tcW w:type="dxa" w:w="9360"/>
            <w:shd w:fill="FAFAF7" w:val="clear"/>
            <w:tcMar>
              <w:top w:type="dxa" w:w="150"/>
              <w:left w:type="dxa" w:w="180"/>
              <w:bottom w:type="dxa" w:w="150"/>
              <w:right w:type="dxa" w:w="180"/>
            </w:tcMar>
          </w:tcPr>
          <w:p>
            <w:pPr>
              <w:spacing w:after="100" w:line="264"/>
            </w:pPr>
            <w:r>
              <w:rPr>
                <w:rFonts w:ascii="Calibri" w:cs="Calibri" w:eastAsia="Calibri" w:hAnsi="Calibri"/>
                <w:i/>
                <w:iCs/>
                <w:color w:val="2B2B2B"/>
                <w:sz w:val="20"/>
                <w:szCs w:val="20"/>
              </w:rPr>
              <w:t xml:space="preserve">[Answer their actual question with real substance first — 3-4 sentences of genuinely useful information about lean mass, protein, or where to start.]</w:t>
            </w:r>
          </w:p>
          <w:p>
            <w:pPr>
              <w:spacing w:after="100" w:line="264"/>
            </w:pPr>
            <w:r>
              <w:rPr>
                <w:rFonts w:ascii="Calibri" w:cs="Calibri" w:eastAsia="Calibri" w:hAnsi="Calibri"/>
                <w:i w:val="false"/>
                <w:iCs w:val="false"/>
                <w:color w:val="2B2B2B"/>
                <w:sz w:val="20"/>
                <w:szCs w:val="20"/>
              </w:rPr>
              <w:t xml:space="preserve"/>
            </w:r>
          </w:p>
          <w:p>
            <w:pPr>
              <w:spacing w:after="100" w:line="264"/>
            </w:pPr>
            <w:r>
              <w:rPr>
                <w:rFonts w:ascii="Calibri" w:cs="Calibri" w:eastAsia="Calibri" w:hAnsi="Calibri"/>
                <w:i w:val="false"/>
                <w:iCs w:val="false"/>
                <w:color w:val="2B2B2B"/>
                <w:sz w:val="20"/>
                <w:szCs w:val="20"/>
              </w:rPr>
              <w:t xml:space="preserve">On the practical side: the thing that reduces lean-mass loss is resistance training two to three times a week plus getting protein in, which is the hard part when you can barely eat. You do not need a gym — a couple of dumbbells is enough to start.</w:t>
            </w:r>
          </w:p>
          <w:p>
            <w:pPr>
              <w:spacing w:after="100" w:line="264"/>
            </w:pPr>
            <w:r>
              <w:rPr>
                <w:rFonts w:ascii="Calibri" w:cs="Calibri" w:eastAsia="Calibri" w:hAnsi="Calibri"/>
                <w:i w:val="false"/>
                <w:iCs w:val="false"/>
                <w:color w:val="2B2B2B"/>
                <w:sz w:val="20"/>
                <w:szCs w:val="20"/>
              </w:rPr>
              <w:t xml:space="preserve"/>
            </w:r>
          </w:p>
          <w:p>
            <w:pPr>
              <w:spacing w:after="0" w:line="264"/>
            </w:pPr>
            <w:r>
              <w:rPr>
                <w:rFonts w:ascii="Calibri" w:cs="Calibri" w:eastAsia="Calibri" w:hAnsi="Calibri"/>
                <w:i/>
                <w:iCs/>
                <w:color w:val="2B2B2B"/>
                <w:sz w:val="20"/>
                <w:szCs w:val="20"/>
              </w:rPr>
              <w:t xml:space="preserve">[Only if directly relevant and only if the sub permits it:] I work on an app in this space, so take that into account, but happy to answer questions either way.</w:t>
            </w:r>
          </w:p>
        </w:tc>
      </w:tr>
    </w:tbl>
    <w:p>
      <w:pPr>
        <w:spacing w:after="200"/>
      </w:pPr>
    </w:p>
    <w:p>
      <w:pPr>
        <w:pStyle w:val="Heading2"/>
        <w:spacing w:after="100" w:before="260"/>
      </w:pPr>
      <w:r>
        <w:rPr>
          <w:rFonts w:ascii="Calibri" w:cs="Calibri" w:eastAsia="Calibri" w:hAnsi="Calibri"/>
          <w:b/>
          <w:bCs/>
          <w:color w:val="3D6E8F"/>
          <w:sz w:val="24"/>
          <w:szCs w:val="24"/>
        </w:rPr>
        <w:t xml:space="preserve">A5. Creator outreach — free access, no strings</w:t>
      </w:r>
    </w:p>
    <w:tbl>
      <w:tblPr>
        <w:tblW w:type="dxa" w:w="9360"/>
        <w:tblBorders>
          <w:top w:val="single" w:color="C9D6E0" w:sz="2"/>
          <w:left w:val="single" w:color="C9D6E0" w:sz="2"/>
          <w:bottom w:val="single" w:color="C9D6E0" w:sz="2"/>
          <w:right w:val="single" w:color="C9D6E0" w:sz="2"/>
          <w:insideH w:val="none"/>
          <w:insideV w:val="none"/>
        </w:tblBorders>
      </w:tblPr>
      <w:tblGrid>
        <w:gridCol w:w="9360"/>
      </w:tblGrid>
      <w:tr>
        <w:tc>
          <w:tcPr>
            <w:tcW w:type="dxa" w:w="9360"/>
            <w:shd w:fill="FAFAF7" w:val="clear"/>
            <w:tcMar>
              <w:top w:type="dxa" w:w="150"/>
              <w:left w:type="dxa" w:w="180"/>
              <w:bottom w:type="dxa" w:w="150"/>
              <w:right w:type="dxa" w:w="180"/>
            </w:tcMar>
          </w:tcPr>
          <w:p>
            <w:pPr>
              <w:spacing w:after="100" w:line="264"/>
            </w:pPr>
            <w:r>
              <w:rPr>
                <w:rFonts w:ascii="Calibri" w:cs="Calibri" w:eastAsia="Calibri" w:hAnsi="Calibri"/>
                <w:i w:val="false"/>
                <w:iCs w:val="false"/>
                <w:color w:val="2B2B2B"/>
                <w:sz w:val="20"/>
                <w:szCs w:val="20"/>
              </w:rPr>
              <w:t xml:space="preserve">Subject: Free lifetime access, no ask attached</w:t>
            </w:r>
          </w:p>
          <w:p>
            <w:pPr>
              <w:spacing w:after="100" w:line="264"/>
            </w:pPr>
            <w:r>
              <w:rPr>
                <w:rFonts w:ascii="Calibri" w:cs="Calibri" w:eastAsia="Calibri" w:hAnsi="Calibri"/>
                <w:i w:val="false"/>
                <w:iCs w:val="false"/>
                <w:color w:val="2B2B2B"/>
                <w:sz w:val="20"/>
                <w:szCs w:val="20"/>
              </w:rPr>
              <w:t xml:space="preserve"/>
            </w:r>
          </w:p>
          <w:p>
            <w:pPr>
              <w:spacing w:after="100" w:line="264"/>
            </w:pPr>
            <w:r>
              <w:rPr>
                <w:rFonts w:ascii="Calibri" w:cs="Calibri" w:eastAsia="Calibri" w:hAnsi="Calibri"/>
                <w:i w:val="false"/>
                <w:iCs w:val="false"/>
                <w:color w:val="2B2B2B"/>
                <w:sz w:val="20"/>
                <w:szCs w:val="20"/>
              </w:rPr>
              <w:t xml:space="preserve">Hi [NAME] — I have been following your posts about your GLP-1 journey, particularly [SPECIFIC THING THEY POSTED].</w:t>
            </w:r>
          </w:p>
          <w:p>
            <w:pPr>
              <w:spacing w:after="100" w:line="264"/>
            </w:pPr>
            <w:r>
              <w:rPr>
                <w:rFonts w:ascii="Calibri" w:cs="Calibri" w:eastAsia="Calibri" w:hAnsi="Calibri"/>
                <w:i w:val="false"/>
                <w:iCs w:val="false"/>
                <w:color w:val="2B2B2B"/>
                <w:sz w:val="20"/>
                <w:szCs w:val="20"/>
              </w:rPr>
              <w:t xml:space="preserve"/>
            </w:r>
          </w:p>
          <w:p>
            <w:pPr>
              <w:spacing w:after="100" w:line="264"/>
            </w:pPr>
            <w:r>
              <w:rPr>
                <w:rFonts w:ascii="Calibri" w:cs="Calibri" w:eastAsia="Calibri" w:hAnsi="Calibri"/>
                <w:i w:val="false"/>
                <w:iCs w:val="false"/>
                <w:color w:val="2B2B2B"/>
                <w:sz w:val="20"/>
                <w:szCs w:val="20"/>
              </w:rPr>
              <w:t xml:space="preserve">I built an app for the muscle side of this. You photograph whatever equipment you own, it builds a program around it, and it starts complete beginners at one exercise a week. It also tracks protein, which I gather is the harder problem.</w:t>
            </w:r>
          </w:p>
          <w:p>
            <w:pPr>
              <w:spacing w:after="100" w:line="264"/>
            </w:pPr>
            <w:r>
              <w:rPr>
                <w:rFonts w:ascii="Calibri" w:cs="Calibri" w:eastAsia="Calibri" w:hAnsi="Calibri"/>
                <w:i w:val="false"/>
                <w:iCs w:val="false"/>
                <w:color w:val="2B2B2B"/>
                <w:sz w:val="20"/>
                <w:szCs w:val="20"/>
              </w:rPr>
              <w:t xml:space="preserve"/>
            </w:r>
          </w:p>
          <w:p>
            <w:pPr>
              <w:spacing w:after="100" w:line="264"/>
            </w:pPr>
            <w:r>
              <w:rPr>
                <w:rFonts w:ascii="Calibri" w:cs="Calibri" w:eastAsia="Calibri" w:hAnsi="Calibri"/>
                <w:i w:val="false"/>
                <w:iCs w:val="false"/>
                <w:color w:val="2B2B2B"/>
                <w:sz w:val="20"/>
                <w:szCs w:val="20"/>
              </w:rPr>
              <w:t xml:space="preserve">I would like to give you lifetime access for free, and I will personally review your starting program. I am not asking you to post about it. If it is useful you will decide that on your own, and if it is not I would rather hear why.</w:t>
            </w:r>
          </w:p>
          <w:p>
            <w:pPr>
              <w:spacing w:after="100" w:line="264"/>
            </w:pPr>
            <w:r>
              <w:rPr>
                <w:rFonts w:ascii="Calibri" w:cs="Calibri" w:eastAsia="Calibri" w:hAnsi="Calibri"/>
                <w:i w:val="false"/>
                <w:iCs w:val="false"/>
                <w:color w:val="2B2B2B"/>
                <w:sz w:val="20"/>
                <w:szCs w:val="20"/>
              </w:rPr>
              <w:t xml:space="preserve"/>
            </w:r>
          </w:p>
          <w:p>
            <w:pPr>
              <w:spacing w:after="100" w:line="264"/>
            </w:pPr>
            <w:r>
              <w:rPr>
                <w:rFonts w:ascii="Calibri" w:cs="Calibri" w:eastAsia="Calibri" w:hAnsi="Calibri"/>
                <w:i w:val="false"/>
                <w:iCs w:val="false"/>
                <w:color w:val="2B2B2B"/>
                <w:sz w:val="20"/>
                <w:szCs w:val="20"/>
              </w:rPr>
              <w:t xml:space="preserve">One thing if you ever do post about it: because the access is free, the FTC requires you to disclose that in the post itself. I would rather flag that up front than have it become a problem later.</w:t>
            </w:r>
          </w:p>
          <w:p>
            <w:pPr>
              <w:spacing w:after="100" w:line="264"/>
            </w:pPr>
            <w:r>
              <w:rPr>
                <w:rFonts w:ascii="Calibri" w:cs="Calibri" w:eastAsia="Calibri" w:hAnsi="Calibri"/>
                <w:i w:val="false"/>
                <w:iCs w:val="false"/>
                <w:color w:val="2B2B2B"/>
                <w:sz w:val="20"/>
                <w:szCs w:val="20"/>
              </w:rPr>
              <w:t xml:space="preserve"/>
            </w:r>
          </w:p>
          <w:p>
            <w:pPr>
              <w:spacing w:after="100" w:line="264"/>
            </w:pPr>
            <w:r>
              <w:rPr>
                <w:rFonts w:ascii="Calibri" w:cs="Calibri" w:eastAsia="Calibri" w:hAnsi="Calibri"/>
                <w:i w:val="false"/>
                <w:iCs w:val="false"/>
                <w:color w:val="2B2B2B"/>
                <w:sz w:val="20"/>
                <w:szCs w:val="20"/>
              </w:rPr>
              <w:t xml:space="preserve">Code: [CODE]</w:t>
            </w:r>
          </w:p>
          <w:p>
            <w:pPr>
              <w:spacing w:after="100" w:line="264"/>
            </w:pPr>
            <w:r>
              <w:rPr>
                <w:rFonts w:ascii="Calibri" w:cs="Calibri" w:eastAsia="Calibri" w:hAnsi="Calibri"/>
                <w:i w:val="false"/>
                <w:iCs w:val="false"/>
                <w:color w:val="2B2B2B"/>
                <w:sz w:val="20"/>
                <w:szCs w:val="20"/>
              </w:rPr>
              <w:t xml:space="preserve"/>
            </w:r>
          </w:p>
          <w:p>
            <w:pPr>
              <w:spacing w:after="0" w:line="264"/>
            </w:pPr>
            <w:r>
              <w:rPr>
                <w:rFonts w:ascii="Calibri" w:cs="Calibri" w:eastAsia="Calibri" w:hAnsi="Calibri"/>
                <w:i/>
                <w:iCs/>
                <w:color w:val="2B2B2B"/>
                <w:sz w:val="20"/>
                <w:szCs w:val="20"/>
              </w:rPr>
              <w:t xml:space="preserve">[NAME], GLP Steel</w:t>
            </w:r>
          </w:p>
        </w:tc>
      </w:tr>
    </w:tbl>
    <w:p>
      <w:pPr>
        <w:spacing w:after="200"/>
      </w:pPr>
    </w:p>
    <w:p>
      <w:pPr>
        <w:pStyle w:val="Heading2"/>
        <w:spacing w:after="100" w:before="260"/>
      </w:pPr>
      <w:r>
        <w:rPr>
          <w:rFonts w:ascii="Calibri" w:cs="Calibri" w:eastAsia="Calibri" w:hAnsi="Calibri"/>
          <w:b/>
          <w:bCs/>
          <w:color w:val="3D6E8F"/>
          <w:sz w:val="24"/>
          <w:szCs w:val="24"/>
        </w:rPr>
        <w:t xml:space="preserve">A6. Waitlist email — retatrutide interest</w:t>
      </w:r>
    </w:p>
    <w:tbl>
      <w:tblPr>
        <w:tblW w:type="dxa" w:w="9360"/>
        <w:tblBorders>
          <w:top w:val="single" w:color="C9D6E0" w:sz="2"/>
          <w:left w:val="single" w:color="C9D6E0" w:sz="2"/>
          <w:bottom w:val="single" w:color="C9D6E0" w:sz="2"/>
          <w:right w:val="single" w:color="C9D6E0" w:sz="2"/>
          <w:insideH w:val="none"/>
          <w:insideV w:val="none"/>
        </w:tblBorders>
      </w:tblPr>
      <w:tblGrid>
        <w:gridCol w:w="9360"/>
      </w:tblGrid>
      <w:tr>
        <w:tc>
          <w:tcPr>
            <w:tcW w:type="dxa" w:w="9360"/>
            <w:shd w:fill="FAFAF7" w:val="clear"/>
            <w:tcMar>
              <w:top w:type="dxa" w:w="150"/>
              <w:left w:type="dxa" w:w="180"/>
              <w:bottom w:type="dxa" w:w="150"/>
              <w:right w:type="dxa" w:w="180"/>
            </w:tcMar>
          </w:tcPr>
          <w:p>
            <w:pPr>
              <w:spacing w:after="100" w:line="264"/>
            </w:pPr>
            <w:r>
              <w:rPr>
                <w:rFonts w:ascii="Calibri" w:cs="Calibri" w:eastAsia="Calibri" w:hAnsi="Calibri"/>
                <w:i w:val="false"/>
                <w:iCs w:val="false"/>
                <w:color w:val="2B2B2B"/>
                <w:sz w:val="20"/>
                <w:szCs w:val="20"/>
              </w:rPr>
              <w:t xml:space="preserve">Subject: Retatrutide is not out yet. Here is what that actually means.</w:t>
            </w:r>
          </w:p>
          <w:p>
            <w:pPr>
              <w:spacing w:after="100" w:line="264"/>
            </w:pPr>
            <w:r>
              <w:rPr>
                <w:rFonts w:ascii="Calibri" w:cs="Calibri" w:eastAsia="Calibri" w:hAnsi="Calibri"/>
                <w:i w:val="false"/>
                <w:iCs w:val="false"/>
                <w:color w:val="2B2B2B"/>
                <w:sz w:val="20"/>
                <w:szCs w:val="20"/>
              </w:rPr>
              <w:t xml:space="preserve"/>
            </w:r>
          </w:p>
          <w:p>
            <w:pPr>
              <w:spacing w:after="100" w:line="264"/>
            </w:pPr>
            <w:r>
              <w:rPr>
                <w:rFonts w:ascii="Calibri" w:cs="Calibri" w:eastAsia="Calibri" w:hAnsi="Calibri"/>
                <w:i w:val="false"/>
                <w:iCs w:val="false"/>
                <w:color w:val="2B2B2B"/>
                <w:sz w:val="20"/>
                <w:szCs w:val="20"/>
              </w:rPr>
              <w:t xml:space="preserve">Short version: retatrutide is still investigational. Lilly has said it plans to file with the FDA in early 2027, and review typically takes ten to twelve months — so realistically late 2027 or 2028. A narrow expanded-access pathway opened in August 2026, but the criteria are restrictive and it applies to very few people.</w:t>
            </w:r>
          </w:p>
          <w:p>
            <w:pPr>
              <w:spacing w:after="100" w:line="264"/>
            </w:pPr>
            <w:r>
              <w:rPr>
                <w:rFonts w:ascii="Calibri" w:cs="Calibri" w:eastAsia="Calibri" w:hAnsi="Calibri"/>
                <w:i w:val="false"/>
                <w:iCs w:val="false"/>
                <w:color w:val="2B2B2B"/>
                <w:sz w:val="20"/>
                <w:szCs w:val="20"/>
              </w:rPr>
              <w:t xml:space="preserve"/>
            </w:r>
          </w:p>
          <w:p>
            <w:pPr>
              <w:spacing w:after="100" w:line="264"/>
            </w:pPr>
            <w:r>
              <w:rPr>
                <w:rFonts w:ascii="Calibri" w:cs="Calibri" w:eastAsia="Calibri" w:hAnsi="Calibri"/>
                <w:i w:val="false"/>
                <w:iCs w:val="false"/>
                <w:color w:val="2B2B2B"/>
                <w:sz w:val="20"/>
                <w:szCs w:val="20"/>
              </w:rPr>
              <w:t xml:space="preserve">Anything being sold online right now as retatrutide is unapproved product from an unregulated source. Independent testing has found mislabeled doses and contamination. We are not going to pretend otherwise.</w:t>
            </w:r>
          </w:p>
          <w:p>
            <w:pPr>
              <w:spacing w:after="100" w:line="264"/>
            </w:pPr>
            <w:r>
              <w:rPr>
                <w:rFonts w:ascii="Calibri" w:cs="Calibri" w:eastAsia="Calibri" w:hAnsi="Calibri"/>
                <w:i w:val="false"/>
                <w:iCs w:val="false"/>
                <w:color w:val="2B2B2B"/>
                <w:sz w:val="20"/>
                <w:szCs w:val="20"/>
              </w:rPr>
              <w:t xml:space="preserve"/>
            </w:r>
          </w:p>
          <w:p>
            <w:pPr>
              <w:spacing w:after="100" w:line="264"/>
            </w:pPr>
            <w:r>
              <w:rPr>
                <w:rFonts w:ascii="Calibri" w:cs="Calibri" w:eastAsia="Calibri" w:hAnsi="Calibri"/>
                <w:i w:val="false"/>
                <w:iCs w:val="false"/>
                <w:color w:val="2B2B2B"/>
                <w:sz w:val="20"/>
                <w:szCs w:val="20"/>
              </w:rPr>
              <w:t xml:space="preserve">What is worth doing in the meantime: the trial results showed weight loss above 20% on average. Deeper weight loss means a bigger lean-mass problem, not a smaller one. Every pound of muscle you build now is a pound you are not trying to protect later.</w:t>
            </w:r>
          </w:p>
          <w:p>
            <w:pPr>
              <w:spacing w:after="100" w:line="264"/>
            </w:pPr>
            <w:r>
              <w:rPr>
                <w:rFonts w:ascii="Calibri" w:cs="Calibri" w:eastAsia="Calibri" w:hAnsi="Calibri"/>
                <w:i w:val="false"/>
                <w:iCs w:val="false"/>
                <w:color w:val="2B2B2B"/>
                <w:sz w:val="20"/>
                <w:szCs w:val="20"/>
              </w:rPr>
              <w:t xml:space="preserve"/>
            </w:r>
          </w:p>
          <w:p>
            <w:pPr>
              <w:spacing w:after="0" w:line="264"/>
            </w:pPr>
            <w:r>
              <w:rPr>
                <w:rFonts w:ascii="Calibri" w:cs="Calibri" w:eastAsia="Calibri" w:hAnsi="Calibri"/>
                <w:i w:val="false"/>
                <w:iCs w:val="false"/>
                <w:color w:val="2B2B2B"/>
                <w:sz w:val="20"/>
                <w:szCs w:val="20"/>
              </w:rPr>
              <w:t xml:space="preserve">That is the whole email. We will let you know when there is real news.</w:t>
            </w:r>
          </w:p>
        </w:tc>
      </w:tr>
    </w:tbl>
    <w:p>
      <w:pPr>
        <w:spacing w:after="300"/>
      </w:pPr>
    </w:p>
    <w:p>
      <w:pPr>
        <w:pBdr>
          <w:top w:val="single" w:color="3D6E8F" w:sz="6" w:space="8"/>
        </w:pBdr>
        <w:spacing w:before="200"/>
      </w:pPr>
      <w:r>
        <w:rPr>
          <w:rFonts w:ascii="Calibri" w:cs="Calibri" w:eastAsia="Calibri" w:hAnsi="Calibri"/>
          <w:i/>
          <w:iCs/>
          <w:color w:val="5A5A5A"/>
          <w:sz w:val="18"/>
          <w:szCs w:val="18"/>
        </w:rPr>
        <w:t xml:space="preserve">Sources and figures in this document are drawn from published August 2026 reporting and clinical literature. Regulatory timelines and platform advertising policies change frequently — re-verify before committing budget. Nothing here is legal or medical advice.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31"/>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GLP Steel — Go-to-Market Strategy</dc:title>
  <dc:creator>GLP Steel</dc:creator>
  <dc:description>Marketing strategy for GLP-1 / incretin-class users and prescribers, US, 2026</dc:description>
  <cp:lastModifiedBy>Un-named</cp:lastModifiedBy>
  <cp:revision>1</cp:revision>
  <dcterms:created xsi:type="dcterms:W3CDTF">2026-08-12T15:51:49.897Z</dcterms:created>
  <dcterms:modified xsi:type="dcterms:W3CDTF">2026-08-12T15:51:49.897Z</dcterms:modified>
</cp:coreProperties>
</file>

<file path=docProps/custom.xml><?xml version="1.0" encoding="utf-8"?>
<Properties xmlns="http://schemas.openxmlformats.org/officeDocument/2006/custom-properties" xmlns:vt="http://schemas.openxmlformats.org/officeDocument/2006/docPropsVTypes"/>
</file>