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pBdr>
          <w:bottom w:val="single" w:sz="6" w:space="4" w:color="00C2CC"/>
        </w:pBdr>
      </w:pPr>
      <w:r>
        <w:rPr>
          <w:b/>
          <w:color w:val="1A1A2E"/>
          <w:sz w:val="44"/>
        </w:rPr>
        <w:t>Mirae — Internal Cost, Pricing &amp; Margin Model</w:t>
      </w:r>
    </w:p>
    <w:p>
      <w:pPr>
        <w:spacing w:after="240"/>
      </w:pPr>
      <w:r>
        <w:rPr>
          <w:color w:val="6B7280"/>
          <w:sz w:val="18"/>
        </w:rPr>
        <w:t xml:space="preserve">Last updated: </w:t>
      </w:r>
      <w:r>
        <w:rPr>
          <w:b/>
          <w:color w:val="1A1A2E"/>
          <w:sz w:val="18"/>
        </w:rPr>
        <w:t>2026-05-25</w:t>
      </w:r>
      <w:r>
        <w:rPr>
          <w:color w:val="6B7280"/>
          <w:sz w:val="18"/>
        </w:rPr>
        <w:t xml:space="preserve">  |  Status: </w:t>
      </w:r>
      <w:r>
        <w:rPr>
          <w:b/>
          <w:color w:val="1A1A2E"/>
          <w:sz w:val="18"/>
        </w:rPr>
        <w:t>Working draft</w:t>
      </w:r>
      <w:r>
        <w:rPr>
          <w:color w:val="6B7280"/>
          <w:sz w:val="18"/>
        </w:rPr>
        <w:t xml:space="preserve">  |  Audience: </w:t>
      </w:r>
      <w:r>
        <w:rPr>
          <w:b/>
          <w:color w:val="1A1A2E"/>
          <w:sz w:val="18"/>
        </w:rPr>
        <w:t>Internal — AZP Group only</w:t>
      </w:r>
    </w:p>
    <w:p>
      <w:pPr>
        <w:spacing w:before="280" w:after="80"/>
      </w:pPr>
      <w:r>
        <w:rPr>
          <w:b/>
          <w:color w:val="00C2CC"/>
          <w:sz w:val="26"/>
        </w:rPr>
        <w:t>1. Infrastructure OpEx  (Vercel + Neon + Resend only)</w:t>
      </w:r>
    </w:p>
    <w:p>
      <w:pPr>
        <w:spacing w:before="200" w:after="40"/>
      </w:pPr>
      <w:r>
        <w:rPr>
          <w:b/>
          <w:color w:val="1A1A2E"/>
          <w:sz w:val="22"/>
        </w:rPr>
        <w:t>Data growth rate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00C2CC"/>
            <w:tcBorders>
              <w:top w:val="single" w:sz="4" w:space="0" w:color="00C2CC"/>
              <w:left w:val="single" w:sz="4" w:space="0" w:color="00C2CC"/>
              <w:bottom w:val="single" w:sz="4" w:space="0" w:color="00C2CC"/>
              <w:right w:val="single" w:sz="4" w:space="0" w:color="00C2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236"/>
            <w:shd w:val="clear" w:color="auto" w:fill="00C2CC"/>
            <w:tcBorders>
              <w:top w:val="single" w:sz="4" w:space="0" w:color="00C2CC"/>
              <w:left w:val="single" w:sz="4" w:space="0" w:color="00C2CC"/>
              <w:bottom w:val="single" w:sz="4" w:space="0" w:color="00C2CC"/>
              <w:right w:val="single" w:sz="4" w:space="0" w:color="00C2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Ping frequency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1 per minute per vehicle  =  1,440 rows / day / vehicle</w:t>
            </w:r>
          </w:p>
        </w:tc>
      </w:tr>
      <w:tr>
        <w:tc>
          <w:tcPr>
            <w:tcW w:type="dxa" w:w="2835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Row size estimate</w:t>
            </w:r>
          </w:p>
        </w:tc>
        <w:tc>
          <w:tcPr>
            <w:tcW w:type="dxa" w:w="6236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~500 bytes  (30 telemetry fields + index overhead)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Growth per vehicle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~21 MB / month   |   ~252 MB / year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1A1A2E"/>
          <w:sz w:val="22"/>
        </w:rPr>
        <w:t>Storage at scale  (6-month rolling retention)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00C2CC"/>
            <w:tcBorders>
              <w:top w:val="single" w:sz="4" w:space="0" w:color="00C2CC"/>
              <w:left w:val="single" w:sz="4" w:space="0" w:color="00C2CC"/>
              <w:bottom w:val="single" w:sz="4" w:space="0" w:color="00C2CC"/>
              <w:right w:val="single" w:sz="4" w:space="0" w:color="00C2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Vehicles</w:t>
            </w:r>
          </w:p>
        </w:tc>
        <w:tc>
          <w:tcPr>
            <w:tcW w:type="dxa" w:w="2551"/>
            <w:shd w:val="clear" w:color="auto" w:fill="00C2CC"/>
            <w:tcBorders>
              <w:top w:val="single" w:sz="4" w:space="0" w:color="00C2CC"/>
              <w:left w:val="single" w:sz="4" w:space="0" w:color="00C2CC"/>
              <w:bottom w:val="single" w:sz="4" w:space="0" w:color="00C2CC"/>
              <w:right w:val="single" w:sz="4" w:space="0" w:color="00C2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Storage used</w:t>
            </w:r>
          </w:p>
        </w:tc>
        <w:tc>
          <w:tcPr>
            <w:tcW w:type="dxa" w:w="2551"/>
            <w:shd w:val="clear" w:color="auto" w:fill="00C2CC"/>
            <w:tcBorders>
              <w:top w:val="single" w:sz="4" w:space="0" w:color="00C2CC"/>
              <w:left w:val="single" w:sz="4" w:space="0" w:color="00C2CC"/>
              <w:bottom w:val="single" w:sz="4" w:space="0" w:color="00C2CC"/>
              <w:right w:val="single" w:sz="4" w:space="0" w:color="00C2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Neon plan</w:t>
            </w:r>
          </w:p>
        </w:tc>
        <w:tc>
          <w:tcPr>
            <w:tcW w:type="dxa" w:w="2268"/>
            <w:shd w:val="clear" w:color="auto" w:fill="00C2CC"/>
            <w:tcBorders>
              <w:top w:val="single" w:sz="4" w:space="0" w:color="00C2CC"/>
              <w:left w:val="single" w:sz="4" w:space="0" w:color="00C2CC"/>
              <w:bottom w:val="single" w:sz="4" w:space="0" w:color="00C2CC"/>
              <w:right w:val="single" w:sz="4" w:space="0" w:color="00C2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Neon cost / mo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≤ 80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≤ 9.8 GB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Launch  (10 GB)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$19</w:t>
            </w:r>
          </w:p>
        </w:tc>
      </w:tr>
      <w:tr>
        <w:tc>
          <w:tcPr>
            <w:tcW w:type="dxa" w:w="1701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81 – 400</w:t>
            </w:r>
          </w:p>
        </w:tc>
        <w:tc>
          <w:tcPr>
            <w:tcW w:type="dxa" w:w="2551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9.9 – 49.2 GB</w:t>
            </w:r>
          </w:p>
        </w:tc>
        <w:tc>
          <w:tcPr>
            <w:tcW w:type="dxa" w:w="2551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Scale  (50 GB)</w:t>
            </w:r>
          </w:p>
        </w:tc>
        <w:tc>
          <w:tcPr>
            <w:tcW w:type="dxa" w:w="22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$69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401 – 600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49.3 – 73.8 GB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Scale + overage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$69 + ~$3–4</w:t>
            </w:r>
          </w:p>
        </w:tc>
      </w:tr>
      <w:tr>
        <w:tc>
          <w:tcPr>
            <w:tcW w:type="dxa" w:w="1701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601 – 1,000</w:t>
            </w:r>
          </w:p>
        </w:tc>
        <w:tc>
          <w:tcPr>
            <w:tcW w:type="dxa" w:w="2551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73.9 – 123 GB</w:t>
            </w:r>
          </w:p>
        </w:tc>
        <w:tc>
          <w:tcPr>
            <w:tcW w:type="dxa" w:w="2551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Scale + overage</w:t>
            </w:r>
          </w:p>
        </w:tc>
        <w:tc>
          <w:tcPr>
            <w:tcW w:type="dxa" w:w="22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$69 + ~$4–11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1,000+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&gt; 123 GB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Scale + overage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~$80–100</w:t>
            </w:r>
          </w:p>
        </w:tc>
      </w:tr>
    </w:tbl>
    <w:p>
      <w:pPr>
        <w:spacing w:after="120"/>
        <w:ind w:left="283"/>
      </w:pPr>
      <w:r>
        <w:rPr>
          <w:i/>
          <w:color w:val="6B7280"/>
          <w:sz w:val="18"/>
        </w:rPr>
        <w:t>ℹ  Neon overage rate: $0.15 / GB-month — very cheap above the 50 GB base.</w:t>
      </w:r>
    </w:p>
    <w:p>
      <w:pPr>
        <w:spacing w:before="200" w:after="40"/>
      </w:pPr>
      <w:r>
        <w:rPr>
          <w:b/>
          <w:color w:val="1A1A2E"/>
          <w:sz w:val="22"/>
        </w:rPr>
        <w:t>Monthly infrastructure cost by scale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701"/>
            <w:shd w:val="clear" w:color="auto" w:fill="00C2CC"/>
            <w:tcBorders>
              <w:top w:val="single" w:sz="4" w:space="0" w:color="00C2CC"/>
              <w:left w:val="single" w:sz="4" w:space="0" w:color="00C2CC"/>
              <w:bottom w:val="single" w:sz="4" w:space="0" w:color="00C2CC"/>
              <w:right w:val="single" w:sz="4" w:space="0" w:color="00C2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Vehicles</w:t>
            </w:r>
          </w:p>
        </w:tc>
        <w:tc>
          <w:tcPr>
            <w:tcW w:type="dxa" w:w="1417"/>
            <w:shd w:val="clear" w:color="auto" w:fill="00C2CC"/>
            <w:tcBorders>
              <w:top w:val="single" w:sz="4" w:space="0" w:color="00C2CC"/>
              <w:left w:val="single" w:sz="4" w:space="0" w:color="00C2CC"/>
              <w:bottom w:val="single" w:sz="4" w:space="0" w:color="00C2CC"/>
              <w:right w:val="single" w:sz="4" w:space="0" w:color="00C2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Neon</w:t>
            </w:r>
          </w:p>
        </w:tc>
        <w:tc>
          <w:tcPr>
            <w:tcW w:type="dxa" w:w="1417"/>
            <w:shd w:val="clear" w:color="auto" w:fill="00C2CC"/>
            <w:tcBorders>
              <w:top w:val="single" w:sz="4" w:space="0" w:color="00C2CC"/>
              <w:left w:val="single" w:sz="4" w:space="0" w:color="00C2CC"/>
              <w:bottom w:val="single" w:sz="4" w:space="0" w:color="00C2CC"/>
              <w:right w:val="single" w:sz="4" w:space="0" w:color="00C2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Vercel Pro</w:t>
            </w:r>
          </w:p>
        </w:tc>
        <w:tc>
          <w:tcPr>
            <w:tcW w:type="dxa" w:w="1417"/>
            <w:shd w:val="clear" w:color="auto" w:fill="00C2CC"/>
            <w:tcBorders>
              <w:top w:val="single" w:sz="4" w:space="0" w:color="00C2CC"/>
              <w:left w:val="single" w:sz="4" w:space="0" w:color="00C2CC"/>
              <w:bottom w:val="single" w:sz="4" w:space="0" w:color="00C2CC"/>
              <w:right w:val="single" w:sz="4" w:space="0" w:color="00C2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Resend</w:t>
            </w:r>
          </w:p>
        </w:tc>
        <w:tc>
          <w:tcPr>
            <w:tcW w:type="dxa" w:w="1984"/>
            <w:shd w:val="clear" w:color="auto" w:fill="00C2CC"/>
            <w:tcBorders>
              <w:top w:val="single" w:sz="4" w:space="0" w:color="00C2CC"/>
              <w:left w:val="single" w:sz="4" w:space="0" w:color="00C2CC"/>
              <w:bottom w:val="single" w:sz="4" w:space="0" w:color="00C2CC"/>
              <w:right w:val="single" w:sz="4" w:space="0" w:color="00C2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Total USD / mo</w:t>
            </w:r>
          </w:p>
        </w:tc>
        <w:tc>
          <w:tcPr>
            <w:tcW w:type="dxa" w:w="1984"/>
            <w:shd w:val="clear" w:color="auto" w:fill="00C2CC"/>
            <w:tcBorders>
              <w:top w:val="single" w:sz="4" w:space="0" w:color="00C2CC"/>
              <w:left w:val="single" w:sz="4" w:space="0" w:color="00C2CC"/>
              <w:bottom w:val="single" w:sz="4" w:space="0" w:color="00C2CC"/>
              <w:right w:val="single" w:sz="4" w:space="0" w:color="00C2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Total MYR / mo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≤ 80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$19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$20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$0 (free)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$39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~RM 183</w:t>
            </w:r>
          </w:p>
        </w:tc>
      </w:tr>
      <w:tr>
        <w:tc>
          <w:tcPr>
            <w:tcW w:type="dxa" w:w="1701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81 – 400</w:t>
            </w:r>
          </w:p>
        </w:tc>
        <w:tc>
          <w:tcPr>
            <w:tcW w:type="dxa" w:w="1417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$69</w:t>
            </w:r>
          </w:p>
        </w:tc>
        <w:tc>
          <w:tcPr>
            <w:tcW w:type="dxa" w:w="1417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$20</w:t>
            </w:r>
          </w:p>
        </w:tc>
        <w:tc>
          <w:tcPr>
            <w:tcW w:type="dxa" w:w="1417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$0</w:t>
            </w:r>
          </w:p>
        </w:tc>
        <w:tc>
          <w:tcPr>
            <w:tcW w:type="dxa" w:w="1984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$89</w:t>
            </w:r>
          </w:p>
        </w:tc>
        <w:tc>
          <w:tcPr>
            <w:tcW w:type="dxa" w:w="1984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~RM 418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401 – 1,000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~$73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$20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$20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~$113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~RM 531</w:t>
            </w:r>
          </w:p>
        </w:tc>
      </w:tr>
      <w:tr>
        <w:tc>
          <w:tcPr>
            <w:tcW w:type="dxa" w:w="1701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1,000+</w:t>
            </w:r>
          </w:p>
        </w:tc>
        <w:tc>
          <w:tcPr>
            <w:tcW w:type="dxa" w:w="1417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~$80–100</w:t>
            </w:r>
          </w:p>
        </w:tc>
        <w:tc>
          <w:tcPr>
            <w:tcW w:type="dxa" w:w="1417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$20</w:t>
            </w:r>
          </w:p>
        </w:tc>
        <w:tc>
          <w:tcPr>
            <w:tcW w:type="dxa" w:w="1417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$20</w:t>
            </w:r>
          </w:p>
        </w:tc>
        <w:tc>
          <w:tcPr>
            <w:tcW w:type="dxa" w:w="1984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~$120–140</w:t>
            </w:r>
          </w:p>
        </w:tc>
        <w:tc>
          <w:tcPr>
            <w:tcW w:type="dxa" w:w="1984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~RM 564–658</w:t>
            </w:r>
          </w:p>
        </w:tc>
      </w:tr>
    </w:tbl>
    <w:p>
      <w:pPr>
        <w:spacing w:after="120"/>
        <w:ind w:left="283"/>
      </w:pPr>
      <w:r>
        <w:rPr>
          <w:i/>
          <w:color w:val="6B7280"/>
          <w:sz w:val="18"/>
        </w:rPr>
        <w:t>ℹ  USD/MYR rate used: 4.70. Update periodically.</w:t>
      </w:r>
    </w:p>
    <w:p>
      <w:pPr>
        <w:spacing w:before="280" w:after="80"/>
      </w:pPr>
      <w:r>
        <w:rPr>
          <w:b/>
          <w:color w:val="00C2CC"/>
          <w:sz w:val="26"/>
        </w:rPr>
        <w:t>2. Personnel OpEx  (Mirae team — 3 people)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268"/>
            <w:shd w:val="clear" w:color="auto" w:fill="00C2CC"/>
            <w:tcBorders>
              <w:top w:val="single" w:sz="4" w:space="0" w:color="00C2CC"/>
              <w:left w:val="single" w:sz="4" w:space="0" w:color="00C2CC"/>
              <w:bottom w:val="single" w:sz="4" w:space="0" w:color="00C2CC"/>
              <w:right w:val="single" w:sz="4" w:space="0" w:color="00C2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984"/>
            <w:shd w:val="clear" w:color="auto" w:fill="00C2CC"/>
            <w:tcBorders>
              <w:top w:val="single" w:sz="4" w:space="0" w:color="00C2CC"/>
              <w:left w:val="single" w:sz="4" w:space="0" w:color="00C2CC"/>
              <w:bottom w:val="single" w:sz="4" w:space="0" w:color="00C2CC"/>
              <w:right w:val="single" w:sz="4" w:space="0" w:color="00C2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Gross salary</w:t>
            </w:r>
          </w:p>
        </w:tc>
        <w:tc>
          <w:tcPr>
            <w:tcW w:type="dxa" w:w="1984"/>
            <w:shd w:val="clear" w:color="auto" w:fill="00C2CC"/>
            <w:tcBorders>
              <w:top w:val="single" w:sz="4" w:space="0" w:color="00C2CC"/>
              <w:left w:val="single" w:sz="4" w:space="0" w:color="00C2CC"/>
              <w:bottom w:val="single" w:sz="4" w:space="0" w:color="00C2CC"/>
              <w:right w:val="single" w:sz="4" w:space="0" w:color="00C2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EPF employer 13%</w:t>
            </w:r>
          </w:p>
        </w:tc>
        <w:tc>
          <w:tcPr>
            <w:tcW w:type="dxa" w:w="1984"/>
            <w:shd w:val="clear" w:color="auto" w:fill="00C2CC"/>
            <w:tcBorders>
              <w:top w:val="single" w:sz="4" w:space="0" w:color="00C2CC"/>
              <w:left w:val="single" w:sz="4" w:space="0" w:color="00C2CC"/>
              <w:bottom w:val="single" w:sz="4" w:space="0" w:color="00C2CC"/>
              <w:right w:val="single" w:sz="4" w:space="0" w:color="00C2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SOCSO + EIS ~2%</w:t>
            </w:r>
          </w:p>
        </w:tc>
        <w:tc>
          <w:tcPr>
            <w:tcW w:type="dxa" w:w="1984"/>
            <w:shd w:val="clear" w:color="auto" w:fill="00C2CC"/>
            <w:tcBorders>
              <w:top w:val="single" w:sz="4" w:space="0" w:color="00C2CC"/>
              <w:left w:val="single" w:sz="4" w:space="0" w:color="00C2CC"/>
              <w:bottom w:val="single" w:sz="4" w:space="0" w:color="00C2CC"/>
              <w:right w:val="single" w:sz="4" w:space="0" w:color="00C2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All-in cost / mo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Developer 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___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___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___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___</w:t>
            </w:r>
          </w:p>
        </w:tc>
      </w:tr>
      <w:tr>
        <w:tc>
          <w:tcPr>
            <w:tcW w:type="dxa" w:w="22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Developer 2</w:t>
            </w:r>
          </w:p>
        </w:tc>
        <w:tc>
          <w:tcPr>
            <w:tcW w:type="dxa" w:w="1984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___</w:t>
            </w:r>
          </w:p>
        </w:tc>
        <w:tc>
          <w:tcPr>
            <w:tcW w:type="dxa" w:w="1984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___</w:t>
            </w:r>
          </w:p>
        </w:tc>
        <w:tc>
          <w:tcPr>
            <w:tcW w:type="dxa" w:w="1984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___</w:t>
            </w:r>
          </w:p>
        </w:tc>
        <w:tc>
          <w:tcPr>
            <w:tcW w:type="dxa" w:w="1984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___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Developer / PM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___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___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___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___</w:t>
            </w:r>
          </w:p>
        </w:tc>
      </w:tr>
      <w:tr>
        <w:tc>
          <w:tcPr>
            <w:tcW w:type="dxa" w:w="22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Total</w:t>
            </w:r>
          </w:p>
        </w:tc>
        <w:tc>
          <w:tcPr>
            <w:tcW w:type="dxa" w:w="1984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984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984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984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___</w:t>
            </w:r>
          </w:p>
        </w:tc>
      </w:tr>
    </w:tbl>
    <w:p>
      <w:pPr>
        <w:spacing w:after="120"/>
        <w:ind w:left="283"/>
      </w:pPr>
      <w:r>
        <w:rPr>
          <w:i/>
          <w:color w:val="6B7280"/>
          <w:sz w:val="18"/>
        </w:rPr>
        <w:t>ℹ  Fill in actual salaries. Example: Gross RM 5,000 → EPF RM 650 → SOCSO+EIS RM 100 → All-in RM 5,750.</w:t>
      </w:r>
    </w:p>
    <w:p>
      <w:pPr>
        <w:spacing w:after="120"/>
        <w:ind w:left="283"/>
      </w:pPr>
      <w:r>
        <w:rPr>
          <w:i/>
          <w:color w:val="6B7280"/>
          <w:sz w:val="18"/>
        </w:rPr>
        <w:t>ℹ  Reference total used in this model until filled: RM 19,550 / month.</w:t>
      </w:r>
    </w:p>
    <w:p>
      <w:pPr>
        <w:spacing w:before="280" w:after="80"/>
      </w:pPr>
      <w:r>
        <w:rPr>
          <w:b/>
          <w:color w:val="00C2CC"/>
          <w:sz w:val="26"/>
        </w:rPr>
        <w:t>3. Total Monthly Cost &amp; Cost per Vehicle</w:t>
      </w:r>
    </w:p>
    <w:p>
      <w:pPr>
        <w:spacing w:after="120"/>
        <w:ind w:left="283"/>
      </w:pPr>
      <w:r>
        <w:rPr>
          <w:i/>
          <w:color w:val="6B7280"/>
          <w:sz w:val="18"/>
        </w:rPr>
        <w:t>ℹ  Formula: Total cost = Personnel + Infrastructure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00C2CC"/>
            <w:tcBorders>
              <w:top w:val="single" w:sz="4" w:space="0" w:color="00C2CC"/>
              <w:left w:val="single" w:sz="4" w:space="0" w:color="00C2CC"/>
              <w:bottom w:val="single" w:sz="4" w:space="0" w:color="00C2CC"/>
              <w:right w:val="single" w:sz="4" w:space="0" w:color="00C2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Vehicles</w:t>
            </w:r>
          </w:p>
        </w:tc>
        <w:tc>
          <w:tcPr>
            <w:tcW w:type="dxa" w:w="1984"/>
            <w:shd w:val="clear" w:color="auto" w:fill="00C2CC"/>
            <w:tcBorders>
              <w:top w:val="single" w:sz="4" w:space="0" w:color="00C2CC"/>
              <w:left w:val="single" w:sz="4" w:space="0" w:color="00C2CC"/>
              <w:bottom w:val="single" w:sz="4" w:space="0" w:color="00C2CC"/>
              <w:right w:val="single" w:sz="4" w:space="0" w:color="00C2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Infra (MYR)</w:t>
            </w:r>
          </w:p>
        </w:tc>
        <w:tc>
          <w:tcPr>
            <w:tcW w:type="dxa" w:w="1984"/>
            <w:shd w:val="clear" w:color="auto" w:fill="00C2CC"/>
            <w:tcBorders>
              <w:top w:val="single" w:sz="4" w:space="0" w:color="00C2CC"/>
              <w:left w:val="single" w:sz="4" w:space="0" w:color="00C2CC"/>
              <w:bottom w:val="single" w:sz="4" w:space="0" w:color="00C2CC"/>
              <w:right w:val="single" w:sz="4" w:space="0" w:color="00C2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Personnel (MYR)</w:t>
            </w:r>
          </w:p>
        </w:tc>
        <w:tc>
          <w:tcPr>
            <w:tcW w:type="dxa" w:w="1984"/>
            <w:shd w:val="clear" w:color="auto" w:fill="00C2CC"/>
            <w:tcBorders>
              <w:top w:val="single" w:sz="4" w:space="0" w:color="00C2CC"/>
              <w:left w:val="single" w:sz="4" w:space="0" w:color="00C2CC"/>
              <w:bottom w:val="single" w:sz="4" w:space="0" w:color="00C2CC"/>
              <w:right w:val="single" w:sz="4" w:space="0" w:color="00C2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Total cost / mo</w:t>
            </w:r>
          </w:p>
        </w:tc>
        <w:tc>
          <w:tcPr>
            <w:tcW w:type="dxa" w:w="1984"/>
            <w:shd w:val="clear" w:color="auto" w:fill="00C2CC"/>
            <w:tcBorders>
              <w:top w:val="single" w:sz="4" w:space="0" w:color="00C2CC"/>
              <w:left w:val="single" w:sz="4" w:space="0" w:color="00C2CC"/>
              <w:bottom w:val="single" w:sz="4" w:space="0" w:color="00C2CC"/>
              <w:right w:val="single" w:sz="4" w:space="0" w:color="00C2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Cost per vehicle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50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183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19,550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19,733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394.66</w:t>
            </w:r>
          </w:p>
        </w:tc>
      </w:tr>
      <w:tr>
        <w:tc>
          <w:tcPr>
            <w:tcW w:type="dxa" w:w="1701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100</w:t>
            </w:r>
          </w:p>
        </w:tc>
        <w:tc>
          <w:tcPr>
            <w:tcW w:type="dxa" w:w="1984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418</w:t>
            </w:r>
          </w:p>
        </w:tc>
        <w:tc>
          <w:tcPr>
            <w:tcW w:type="dxa" w:w="1984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19,550</w:t>
            </w:r>
          </w:p>
        </w:tc>
        <w:tc>
          <w:tcPr>
            <w:tcW w:type="dxa" w:w="1984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19,968</w:t>
            </w:r>
          </w:p>
        </w:tc>
        <w:tc>
          <w:tcPr>
            <w:tcW w:type="dxa" w:w="1984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199.68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200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418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19,550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19,968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99.84</w:t>
            </w:r>
          </w:p>
        </w:tc>
      </w:tr>
      <w:tr>
        <w:tc>
          <w:tcPr>
            <w:tcW w:type="dxa" w:w="1701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300</w:t>
            </w:r>
          </w:p>
        </w:tc>
        <w:tc>
          <w:tcPr>
            <w:tcW w:type="dxa" w:w="1984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418</w:t>
            </w:r>
          </w:p>
        </w:tc>
        <w:tc>
          <w:tcPr>
            <w:tcW w:type="dxa" w:w="1984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19,550</w:t>
            </w:r>
          </w:p>
        </w:tc>
        <w:tc>
          <w:tcPr>
            <w:tcW w:type="dxa" w:w="1984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19,968</w:t>
            </w:r>
          </w:p>
        </w:tc>
        <w:tc>
          <w:tcPr>
            <w:tcW w:type="dxa" w:w="1984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66.56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500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531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19,550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20,081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40.16</w:t>
            </w:r>
          </w:p>
        </w:tc>
      </w:tr>
      <w:tr>
        <w:tc>
          <w:tcPr>
            <w:tcW w:type="dxa" w:w="1701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1,000</w:t>
            </w:r>
          </w:p>
        </w:tc>
        <w:tc>
          <w:tcPr>
            <w:tcW w:type="dxa" w:w="1984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658</w:t>
            </w:r>
          </w:p>
        </w:tc>
        <w:tc>
          <w:tcPr>
            <w:tcW w:type="dxa" w:w="1984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19,550</w:t>
            </w:r>
          </w:p>
        </w:tc>
        <w:tc>
          <w:tcPr>
            <w:tcW w:type="dxa" w:w="1984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20,208</w:t>
            </w:r>
          </w:p>
        </w:tc>
        <w:tc>
          <w:tcPr>
            <w:tcW w:type="dxa" w:w="1984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20.21</w:t>
            </w:r>
          </w:p>
        </w:tc>
      </w:tr>
    </w:tbl>
    <w:p>
      <w:pPr>
        <w:spacing w:after="120"/>
        <w:ind w:left="283"/>
      </w:pPr>
      <w:r>
        <w:rPr>
          <w:i/>
          <w:color w:val="6B7280"/>
          <w:sz w:val="18"/>
        </w:rPr>
        <w:t>ℹ  Personnel is the dominant fixed cost. Infra barely moves even at 10× vehicle scale.</w:t>
      </w:r>
    </w:p>
    <w:p>
      <w:pPr>
        <w:spacing w:after="120"/>
        <w:ind w:left="283"/>
      </w:pPr>
      <w:r>
        <w:rPr>
          <w:i/>
          <w:color w:val="6B7280"/>
          <w:sz w:val="18"/>
        </w:rPr>
        <w:t>ℹ  The business is loss-making below ~300 vehicles at market rates. Acquiring clients fast matters more than optimising infra.</w:t>
      </w:r>
    </w:p>
    <w:p>
      <w:pPr>
        <w:spacing w:before="280" w:after="80"/>
      </w:pPr>
      <w:r>
        <w:rPr>
          <w:b/>
          <w:color w:val="00C2CC"/>
          <w:sz w:val="26"/>
        </w:rPr>
        <w:t>4. Break-even &amp; Margin Analysis</w:t>
      </w:r>
    </w:p>
    <w:p>
      <w:pPr>
        <w:spacing w:after="120"/>
        <w:ind w:left="283"/>
      </w:pPr>
      <w:r>
        <w:rPr>
          <w:i/>
          <w:color w:val="6B7280"/>
          <w:sz w:val="18"/>
        </w:rPr>
        <w:t>ℹ  Formula: Revenue = Total cost ÷ (1 − target margin)</w:t>
      </w:r>
    </w:p>
    <w:p>
      <w:pPr>
        <w:spacing w:before="200" w:after="40"/>
      </w:pPr>
      <w:r>
        <w:rPr>
          <w:b/>
          <w:color w:val="1A1A2E"/>
          <w:sz w:val="22"/>
        </w:rPr>
        <w:t>At 300 vehicles  (target launch milestone)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00C2CC"/>
            <w:tcBorders>
              <w:top w:val="single" w:sz="4" w:space="0" w:color="00C2CC"/>
              <w:left w:val="single" w:sz="4" w:space="0" w:color="00C2CC"/>
              <w:bottom w:val="single" w:sz="4" w:space="0" w:color="00C2CC"/>
              <w:right w:val="single" w:sz="4" w:space="0" w:color="00C2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Target margin</w:t>
            </w:r>
          </w:p>
        </w:tc>
        <w:tc>
          <w:tcPr>
            <w:tcW w:type="dxa" w:w="3118"/>
            <w:shd w:val="clear" w:color="auto" w:fill="00C2CC"/>
            <w:tcBorders>
              <w:top w:val="single" w:sz="4" w:space="0" w:color="00C2CC"/>
              <w:left w:val="single" w:sz="4" w:space="0" w:color="00C2CC"/>
              <w:bottom w:val="single" w:sz="4" w:space="0" w:color="00C2CC"/>
              <w:right w:val="single" w:sz="4" w:space="0" w:color="00C2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Revenue needed / mo</w:t>
            </w:r>
          </w:p>
        </w:tc>
        <w:tc>
          <w:tcPr>
            <w:tcW w:type="dxa" w:w="3402"/>
            <w:shd w:val="clear" w:color="auto" w:fill="00C2CC"/>
            <w:tcBorders>
              <w:top w:val="single" w:sz="4" w:space="0" w:color="00C2CC"/>
              <w:left w:val="single" w:sz="4" w:space="0" w:color="00C2CC"/>
              <w:bottom w:val="single" w:sz="4" w:space="0" w:color="00C2CC"/>
              <w:right w:val="single" w:sz="4" w:space="0" w:color="00C2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Revenue per vehicle / mo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0%  (break-even)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19,968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66.56</w:t>
            </w:r>
          </w:p>
        </w:tc>
      </w:tr>
      <w:tr>
        <w:tc>
          <w:tcPr>
            <w:tcW w:type="dxa" w:w="2551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20%</w:t>
            </w:r>
          </w:p>
        </w:tc>
        <w:tc>
          <w:tcPr>
            <w:tcW w:type="dxa" w:w="311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24,960</w:t>
            </w:r>
          </w:p>
        </w:tc>
        <w:tc>
          <w:tcPr>
            <w:tcW w:type="dxa" w:w="340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83.20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30%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28,526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95.09</w:t>
            </w:r>
          </w:p>
        </w:tc>
      </w:tr>
      <w:tr>
        <w:tc>
          <w:tcPr>
            <w:tcW w:type="dxa" w:w="2551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40%</w:t>
            </w:r>
          </w:p>
        </w:tc>
        <w:tc>
          <w:tcPr>
            <w:tcW w:type="dxa" w:w="311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33,280</w:t>
            </w:r>
          </w:p>
        </w:tc>
        <w:tc>
          <w:tcPr>
            <w:tcW w:type="dxa" w:w="340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110.93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50%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39,936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133.12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1A1A2E"/>
          <w:sz w:val="22"/>
        </w:rPr>
        <w:t>At 500 vehicles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00C2CC"/>
            <w:tcBorders>
              <w:top w:val="single" w:sz="4" w:space="0" w:color="00C2CC"/>
              <w:left w:val="single" w:sz="4" w:space="0" w:color="00C2CC"/>
              <w:bottom w:val="single" w:sz="4" w:space="0" w:color="00C2CC"/>
              <w:right w:val="single" w:sz="4" w:space="0" w:color="00C2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Target margin</w:t>
            </w:r>
          </w:p>
        </w:tc>
        <w:tc>
          <w:tcPr>
            <w:tcW w:type="dxa" w:w="3118"/>
            <w:shd w:val="clear" w:color="auto" w:fill="00C2CC"/>
            <w:tcBorders>
              <w:top w:val="single" w:sz="4" w:space="0" w:color="00C2CC"/>
              <w:left w:val="single" w:sz="4" w:space="0" w:color="00C2CC"/>
              <w:bottom w:val="single" w:sz="4" w:space="0" w:color="00C2CC"/>
              <w:right w:val="single" w:sz="4" w:space="0" w:color="00C2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Revenue needed / mo</w:t>
            </w:r>
          </w:p>
        </w:tc>
        <w:tc>
          <w:tcPr>
            <w:tcW w:type="dxa" w:w="3402"/>
            <w:shd w:val="clear" w:color="auto" w:fill="00C2CC"/>
            <w:tcBorders>
              <w:top w:val="single" w:sz="4" w:space="0" w:color="00C2CC"/>
              <w:left w:val="single" w:sz="4" w:space="0" w:color="00C2CC"/>
              <w:bottom w:val="single" w:sz="4" w:space="0" w:color="00C2CC"/>
              <w:right w:val="single" w:sz="4" w:space="0" w:color="00C2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Revenue per vehicle / mo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0%  (break-even)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20,081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40.16</w:t>
            </w:r>
          </w:p>
        </w:tc>
      </w:tr>
      <w:tr>
        <w:tc>
          <w:tcPr>
            <w:tcW w:type="dxa" w:w="2551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20%</w:t>
            </w:r>
          </w:p>
        </w:tc>
        <w:tc>
          <w:tcPr>
            <w:tcW w:type="dxa" w:w="311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25,101</w:t>
            </w:r>
          </w:p>
        </w:tc>
        <w:tc>
          <w:tcPr>
            <w:tcW w:type="dxa" w:w="340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50.20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30%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28,687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57.37</w:t>
            </w:r>
          </w:p>
        </w:tc>
      </w:tr>
      <w:tr>
        <w:tc>
          <w:tcPr>
            <w:tcW w:type="dxa" w:w="2551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40%</w:t>
            </w:r>
          </w:p>
        </w:tc>
        <w:tc>
          <w:tcPr>
            <w:tcW w:type="dxa" w:w="311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33,468</w:t>
            </w:r>
          </w:p>
        </w:tc>
        <w:tc>
          <w:tcPr>
            <w:tcW w:type="dxa" w:w="340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66.94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50%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40,162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80.32</w:t>
            </w:r>
          </w:p>
        </w:tc>
      </w:tr>
    </w:tbl>
    <w:p>
      <w:pPr>
        <w:spacing w:after="120"/>
        <w:ind w:left="283"/>
      </w:pPr>
      <w:r>
        <w:rPr>
          <w:i/>
          <w:color w:val="6B7280"/>
          <w:sz w:val="18"/>
        </w:rPr>
        <w:t>ℹ  Market rate for fleet tracking SaaS in Malaysia: RM 30–80 / vehicle / month.</w:t>
      </w:r>
    </w:p>
    <w:p>
      <w:pPr>
        <w:spacing w:after="120"/>
        <w:ind w:left="283"/>
      </w:pPr>
      <w:r>
        <w:rPr>
          <w:i/>
          <w:color w:val="6B7280"/>
          <w:sz w:val="18"/>
        </w:rPr>
        <w:t>ℹ  Pricing at RM 60–70/vehicle puts you at ~40% margin at 500 vehicles — competitive and healthy.</w:t>
      </w:r>
    </w:p>
    <w:p>
      <w:pPr>
        <w:spacing w:before="280" w:after="80"/>
      </w:pPr>
      <w:r>
        <w:rPr>
          <w:b/>
          <w:color w:val="00C2CC"/>
          <w:sz w:val="26"/>
        </w:rPr>
        <w:t>5. Suggested Pricing Structure  (to be finalised)</w:t>
      </w:r>
    </w:p>
    <w:p>
      <w:pPr>
        <w:spacing w:before="200" w:after="40"/>
      </w:pPr>
      <w:r>
        <w:rPr>
          <w:b/>
          <w:color w:val="1A1A2E"/>
          <w:sz w:val="22"/>
        </w:rPr>
        <w:t>Option A — Per-vehicle flat rate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00C2CC"/>
            <w:tcBorders>
              <w:top w:val="single" w:sz="4" w:space="0" w:color="00C2CC"/>
              <w:left w:val="single" w:sz="4" w:space="0" w:color="00C2CC"/>
              <w:bottom w:val="single" w:sz="4" w:space="0" w:color="00C2CC"/>
              <w:right w:val="single" w:sz="4" w:space="0" w:color="00C2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1984"/>
            <w:shd w:val="clear" w:color="auto" w:fill="00C2CC"/>
            <w:tcBorders>
              <w:top w:val="single" w:sz="4" w:space="0" w:color="00C2CC"/>
              <w:left w:val="single" w:sz="4" w:space="0" w:color="00C2CC"/>
              <w:bottom w:val="single" w:sz="4" w:space="0" w:color="00C2CC"/>
              <w:right w:val="single" w:sz="4" w:space="0" w:color="00C2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Vehicles / org</w:t>
            </w:r>
          </w:p>
        </w:tc>
        <w:tc>
          <w:tcPr>
            <w:tcW w:type="dxa" w:w="1984"/>
            <w:shd w:val="clear" w:color="auto" w:fill="00C2CC"/>
            <w:tcBorders>
              <w:top w:val="single" w:sz="4" w:space="0" w:color="00C2CC"/>
              <w:left w:val="single" w:sz="4" w:space="0" w:color="00C2CC"/>
              <w:bottom w:val="single" w:sz="4" w:space="0" w:color="00C2CC"/>
              <w:right w:val="single" w:sz="4" w:space="0" w:color="00C2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Data retention</w:t>
            </w:r>
          </w:p>
        </w:tc>
        <w:tc>
          <w:tcPr>
            <w:tcW w:type="dxa" w:w="2268"/>
            <w:shd w:val="clear" w:color="auto" w:fill="00C2CC"/>
            <w:tcBorders>
              <w:top w:val="single" w:sz="4" w:space="0" w:color="00C2CC"/>
              <w:left w:val="single" w:sz="4" w:space="0" w:color="00C2CC"/>
              <w:bottom w:val="single" w:sz="4" w:space="0" w:color="00C2CC"/>
              <w:right w:val="single" w:sz="4" w:space="0" w:color="00C2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Price / vehicle / mo</w:t>
            </w:r>
          </w:p>
        </w:tc>
        <w:tc>
          <w:tcPr>
            <w:tcW w:type="dxa" w:w="2268"/>
            <w:shd w:val="clear" w:color="auto" w:fill="00C2CC"/>
            <w:tcBorders>
              <w:top w:val="single" w:sz="4" w:space="0" w:color="00C2CC"/>
              <w:left w:val="single" w:sz="4" w:space="0" w:color="00C2CC"/>
              <w:bottom w:val="single" w:sz="4" w:space="0" w:color="00C2CC"/>
              <w:right w:val="single" w:sz="4" w:space="0" w:color="00C2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Starter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Up to 15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3 months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___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Small fleets, low commitment</w:t>
            </w:r>
          </w:p>
        </w:tc>
      </w:tr>
      <w:tr>
        <w:tc>
          <w:tcPr>
            <w:tcW w:type="dxa" w:w="1701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Standard</w:t>
            </w:r>
          </w:p>
        </w:tc>
        <w:tc>
          <w:tcPr>
            <w:tcW w:type="dxa" w:w="1984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Up to 50</w:t>
            </w:r>
          </w:p>
        </w:tc>
        <w:tc>
          <w:tcPr>
            <w:tcW w:type="dxa" w:w="1984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6 months</w:t>
            </w:r>
          </w:p>
        </w:tc>
        <w:tc>
          <w:tcPr>
            <w:tcW w:type="dxa" w:w="22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___</w:t>
            </w:r>
          </w:p>
        </w:tc>
        <w:tc>
          <w:tcPr>
            <w:tcW w:type="dxa" w:w="22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Typical dealership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Enterprise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Unlimited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12 months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RM ___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Multi-branch, custom SLA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1A1A2E"/>
          <w:sz w:val="22"/>
        </w:rPr>
        <w:t>Option B — Platform fee + per-vehicle</w:t>
      </w:r>
    </w:p>
    <w:p>
      <w:pPr>
        <w:spacing w:after="80"/>
      </w:pPr>
      <w:r>
        <w:rPr>
          <w:i w:val="0"/>
          <w:color w:val="1A1A2E"/>
          <w:sz w:val="20"/>
        </w:rPr>
        <w:t>Base fee:    RM 200 / org / month   (covers platform access)</w:t>
      </w:r>
    </w:p>
    <w:p>
      <w:pPr>
        <w:spacing w:after="80"/>
      </w:pPr>
      <w:r>
        <w:rPr>
          <w:i w:val="0"/>
          <w:color w:val="1A1A2E"/>
          <w:sz w:val="20"/>
        </w:rPr>
        <w:t>Per vehicle: RM 45–60 / vehicle / month</w:t>
      </w:r>
    </w:p>
    <w:p>
      <w:pPr>
        <w:spacing w:after="40"/>
      </w:pPr>
    </w:p>
    <w:p>
      <w:pPr>
        <w:spacing w:after="80"/>
      </w:pPr>
      <w:r>
        <w:rPr>
          <w:i w:val="0"/>
          <w:color w:val="1A1A2E"/>
          <w:sz w:val="20"/>
        </w:rPr>
        <w:t>Example:  org with 25 vehicles  →  RM 200 + (25 × RM 50)  =  RM 1,450 / month</w:t>
      </w:r>
    </w:p>
    <w:p>
      <w:pPr>
        <w:spacing w:after="80"/>
      </w:pPr>
      <w:r>
        <w:rPr>
          <w:i w:val="0"/>
          <w:color w:val="1A1A2E"/>
          <w:sz w:val="20"/>
        </w:rPr>
        <w:t>At 15 such orgs  →  RM 21,750 / month  →  profitable above 300 vehicles</w:t>
      </w:r>
    </w:p>
    <w:p>
      <w:pPr>
        <w:spacing w:before="280" w:after="80"/>
      </w:pPr>
      <w:r>
        <w:rPr>
          <w:b/>
          <w:color w:val="00C2CC"/>
          <w:sz w:val="26"/>
        </w:rPr>
        <w:t>6. Data Retention as a Pricing Lever</w:t>
      </w:r>
    </w:p>
    <w:p>
      <w:pPr>
        <w:spacing w:after="80"/>
      </w:pPr>
      <w:r>
        <w:rPr>
          <w:i w:val="0"/>
          <w:color w:val="1A1A2E"/>
          <w:sz w:val="20"/>
        </w:rPr>
        <w:t>Retention period is the single biggest cost control knob AND a tier differentiator.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00C2CC"/>
            <w:tcBorders>
              <w:top w:val="single" w:sz="4" w:space="0" w:color="00C2CC"/>
              <w:left w:val="single" w:sz="4" w:space="0" w:color="00C2CC"/>
              <w:bottom w:val="single" w:sz="4" w:space="0" w:color="00C2CC"/>
              <w:right w:val="single" w:sz="4" w:space="0" w:color="00C2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Retention</w:t>
            </w:r>
          </w:p>
        </w:tc>
        <w:tc>
          <w:tcPr>
            <w:tcW w:type="dxa" w:w="2835"/>
            <w:shd w:val="clear" w:color="auto" w:fill="00C2CC"/>
            <w:tcBorders>
              <w:top w:val="single" w:sz="4" w:space="0" w:color="00C2CC"/>
              <w:left w:val="single" w:sz="4" w:space="0" w:color="00C2CC"/>
              <w:bottom w:val="single" w:sz="4" w:space="0" w:color="00C2CC"/>
              <w:right w:val="single" w:sz="4" w:space="0" w:color="00C2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Storage per vehicle</w:t>
            </w:r>
          </w:p>
        </w:tc>
        <w:tc>
          <w:tcPr>
            <w:tcW w:type="dxa" w:w="3969"/>
            <w:shd w:val="clear" w:color="auto" w:fill="00C2CC"/>
            <w:tcBorders>
              <w:top w:val="single" w:sz="4" w:space="0" w:color="00C2CC"/>
              <w:left w:val="single" w:sz="4" w:space="0" w:color="00C2CC"/>
              <w:bottom w:val="single" w:sz="4" w:space="0" w:color="00C2CC"/>
              <w:right w:val="single" w:sz="4" w:space="0" w:color="00C2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Neon plan for 300 vehicles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3 months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~63 MB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Launch  ($19)</w:t>
            </w:r>
          </w:p>
        </w:tc>
      </w:tr>
      <w:tr>
        <w:tc>
          <w:tcPr>
            <w:tcW w:type="dxa" w:w="22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6 months</w:t>
            </w:r>
          </w:p>
        </w:tc>
        <w:tc>
          <w:tcPr>
            <w:tcW w:type="dxa" w:w="2835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~126 MB</w:t>
            </w:r>
          </w:p>
        </w:tc>
        <w:tc>
          <w:tcPr>
            <w:tcW w:type="dxa" w:w="3969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Scale   ($69)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12 months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~252 MB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Scale   ($69) + small overage</w:t>
            </w:r>
          </w:p>
        </w:tc>
      </w:tr>
    </w:tbl>
    <w:p>
      <w:pPr>
        <w:spacing w:after="120"/>
        <w:ind w:left="283"/>
      </w:pPr>
      <w:r>
        <w:rPr>
          <w:i/>
          <w:color w:val="6B7280"/>
          <w:sz w:val="18"/>
        </w:rPr>
        <w:t>ℹ  Recommendation: 6 months as default. Offer 12 months as a paid tier add-on.</w:t>
      </w:r>
    </w:p>
    <w:p>
      <w:pPr>
        <w:spacing w:after="120"/>
        <w:ind w:left="283"/>
      </w:pPr>
      <w:r>
        <w:rPr>
          <w:i/>
          <w:color w:val="6B7280"/>
          <w:sz w:val="18"/>
        </w:rPr>
        <w:t>ℹ  Retention is enforced by the nightly cron at POST /api/cron/retention (configurable via RETENTION_MONTHS env var).</w:t>
      </w:r>
    </w:p>
    <w:p>
      <w:pPr>
        <w:spacing w:before="280" w:after="80"/>
      </w:pPr>
      <w:r>
        <w:rPr>
          <w:b/>
          <w:color w:val="00C2CC"/>
          <w:sz w:val="26"/>
        </w:rPr>
        <w:t>7. Assumptions &amp; Update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00C2CC"/>
            <w:tcBorders>
              <w:top w:val="single" w:sz="4" w:space="0" w:color="00C2CC"/>
              <w:left w:val="single" w:sz="4" w:space="0" w:color="00C2CC"/>
              <w:bottom w:val="single" w:sz="4" w:space="0" w:color="00C2CC"/>
              <w:right w:val="single" w:sz="4" w:space="0" w:color="00C2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7370"/>
            <w:shd w:val="clear" w:color="auto" w:fill="00C2CC"/>
            <w:tcBorders>
              <w:top w:val="single" w:sz="4" w:space="0" w:color="00C2CC"/>
              <w:left w:val="single" w:sz="4" w:space="0" w:color="00C2CC"/>
              <w:bottom w:val="single" w:sz="4" w:space="0" w:color="00C2CC"/>
              <w:right w:val="single" w:sz="4" w:space="0" w:color="00C2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Update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2026-05-25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  <w:t>Initial model created. Personnel figures are estimates — replace with actuals.</w:t>
            </w:r>
          </w:p>
        </w:tc>
      </w:tr>
      <w:tr>
        <w:tc>
          <w:tcPr>
            <w:tcW w:type="dxa" w:w="22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737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