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6AE57" w14:textId="77777777" w:rsidR="008443E5" w:rsidRPr="004E3157" w:rsidRDefault="00000000">
      <w:pPr>
        <w:spacing w:after="200" w:line="300" w:lineRule="auto"/>
        <w:jc w:val="center"/>
        <w:rPr>
          <w:rFonts w:ascii="Book Antiqua" w:hAnsi="Book Antiqua"/>
        </w:rPr>
      </w:pPr>
      <w:r w:rsidRPr="004E3157">
        <w:rPr>
          <w:rFonts w:ascii="Book Antiqua" w:hAnsi="Book Antiqua"/>
          <w:b/>
          <w:bCs/>
          <w:sz w:val="28"/>
          <w:szCs w:val="28"/>
        </w:rPr>
        <w:t>Machine Learning for Early Sepsis Prediction in Intensive Care: A Comparative Evaluation of Gradient Boosting and Deep Sequence Models on PhysioNet Clinical Data</w:t>
      </w:r>
    </w:p>
    <w:p w14:paraId="5E66AE58" w14:textId="77777777" w:rsidR="008443E5" w:rsidRPr="004E3157" w:rsidRDefault="00000000">
      <w:pPr>
        <w:spacing w:after="60" w:line="276" w:lineRule="auto"/>
        <w:jc w:val="center"/>
        <w:rPr>
          <w:rFonts w:ascii="Book Antiqua" w:hAnsi="Book Antiqua"/>
        </w:rPr>
      </w:pPr>
      <w:r w:rsidRPr="004E3157">
        <w:rPr>
          <w:rFonts w:ascii="Book Antiqua" w:hAnsi="Book Antiqua"/>
        </w:rPr>
        <w:t>Diana Opiyo¹, Edna Ovulley²</w:t>
      </w:r>
    </w:p>
    <w:p w14:paraId="5E66AE59" w14:textId="0EFBF17D" w:rsidR="008443E5" w:rsidRPr="004E3157" w:rsidRDefault="00000000" w:rsidP="00385490">
      <w:pPr>
        <w:spacing w:after="30" w:line="276" w:lineRule="auto"/>
        <w:jc w:val="center"/>
        <w:rPr>
          <w:rFonts w:ascii="Book Antiqua" w:hAnsi="Book Antiqua"/>
        </w:rPr>
      </w:pPr>
      <w:r w:rsidRPr="004E3157">
        <w:rPr>
          <w:rFonts w:ascii="Book Antiqua" w:hAnsi="Book Antiqua"/>
          <w:i/>
          <w:iCs/>
          <w:sz w:val="20"/>
          <w:szCs w:val="20"/>
        </w:rPr>
        <w:t xml:space="preserve">¹ Department of Information Sciences and Technologies, College of Computing, Grand Valley State University, Allendale, </w:t>
      </w:r>
      <w:r w:rsidR="00262491" w:rsidRPr="004E3157">
        <w:rPr>
          <w:rFonts w:ascii="Book Antiqua" w:hAnsi="Book Antiqua"/>
          <w:i/>
          <w:iCs/>
          <w:sz w:val="20"/>
          <w:szCs w:val="20"/>
        </w:rPr>
        <w:t>MI</w:t>
      </w:r>
      <w:r w:rsidRPr="004E3157">
        <w:rPr>
          <w:rFonts w:ascii="Book Antiqua" w:hAnsi="Book Antiqua"/>
          <w:i/>
          <w:iCs/>
          <w:sz w:val="20"/>
          <w:szCs w:val="20"/>
        </w:rPr>
        <w:t xml:space="preserve">, </w:t>
      </w:r>
      <w:r w:rsidR="00262491" w:rsidRPr="004E3157">
        <w:rPr>
          <w:rFonts w:ascii="Book Antiqua" w:hAnsi="Book Antiqua"/>
          <w:i/>
          <w:iCs/>
          <w:sz w:val="20"/>
          <w:szCs w:val="20"/>
        </w:rPr>
        <w:t xml:space="preserve">49401, </w:t>
      </w:r>
      <w:r w:rsidRPr="004E3157">
        <w:rPr>
          <w:rFonts w:ascii="Book Antiqua" w:hAnsi="Book Antiqua"/>
          <w:i/>
          <w:iCs/>
          <w:sz w:val="20"/>
          <w:szCs w:val="20"/>
        </w:rPr>
        <w:t>United States</w:t>
      </w:r>
    </w:p>
    <w:p w14:paraId="5E66AE5A" w14:textId="77777777" w:rsidR="008443E5" w:rsidRPr="004E3157" w:rsidRDefault="00000000" w:rsidP="00385490">
      <w:pPr>
        <w:spacing w:after="40" w:line="276" w:lineRule="auto"/>
        <w:jc w:val="center"/>
        <w:rPr>
          <w:rFonts w:ascii="Book Antiqua" w:hAnsi="Book Antiqua"/>
        </w:rPr>
      </w:pPr>
      <w:r w:rsidRPr="004E3157">
        <w:rPr>
          <w:rFonts w:ascii="Book Antiqua" w:hAnsi="Book Antiqua"/>
          <w:i/>
          <w:iCs/>
          <w:sz w:val="20"/>
          <w:szCs w:val="20"/>
        </w:rPr>
        <w:t>² Southern Arkansas University, Magnolia, Arkansas, United States</w:t>
      </w:r>
    </w:p>
    <w:p w14:paraId="006FF3C0" w14:textId="119DB331" w:rsidR="00385490" w:rsidRPr="004E3157" w:rsidRDefault="00000000" w:rsidP="00385490">
      <w:pPr>
        <w:spacing w:after="200" w:line="276" w:lineRule="auto"/>
        <w:jc w:val="center"/>
        <w:rPr>
          <w:rFonts w:ascii="Book Antiqua" w:hAnsi="Book Antiqua"/>
          <w:i/>
          <w:iCs/>
          <w:sz w:val="20"/>
          <w:szCs w:val="20"/>
        </w:rPr>
      </w:pPr>
      <w:r w:rsidRPr="004E3157">
        <w:rPr>
          <w:rFonts w:ascii="Book Antiqua" w:hAnsi="Book Antiqua"/>
          <w:i/>
          <w:iCs/>
          <w:sz w:val="20"/>
          <w:szCs w:val="20"/>
        </w:rPr>
        <w:t xml:space="preserve">Corresponding author: </w:t>
      </w:r>
      <w:hyperlink r:id="rId8" w:history="1">
        <w:r w:rsidR="00385490" w:rsidRPr="004E3157">
          <w:rPr>
            <w:rStyle w:val="Hyperlink"/>
            <w:rFonts w:ascii="Book Antiqua" w:hAnsi="Book Antiqua"/>
            <w:i/>
            <w:iCs/>
            <w:sz w:val="20"/>
            <w:szCs w:val="20"/>
          </w:rPr>
          <w:t>opiyod@mail.gvsu.edu</w:t>
        </w:r>
      </w:hyperlink>
    </w:p>
    <w:p w14:paraId="4AD49210" w14:textId="77777777" w:rsidR="00385490" w:rsidRPr="004E3157" w:rsidRDefault="00385490" w:rsidP="00385490">
      <w:pPr>
        <w:spacing w:after="200" w:line="276" w:lineRule="auto"/>
        <w:jc w:val="center"/>
        <w:rPr>
          <w:rFonts w:ascii="Book Antiqua" w:hAnsi="Book Antiqua"/>
          <w:b/>
          <w:bCs/>
          <w:sz w:val="24"/>
          <w:szCs w:val="24"/>
        </w:rPr>
      </w:pPr>
    </w:p>
    <w:p w14:paraId="5E66AE5C" w14:textId="4DE0F99B" w:rsidR="008443E5" w:rsidRPr="004E3157" w:rsidRDefault="00000000" w:rsidP="00385490">
      <w:pPr>
        <w:spacing w:after="200" w:line="276" w:lineRule="auto"/>
        <w:jc w:val="center"/>
        <w:rPr>
          <w:rFonts w:ascii="Book Antiqua" w:hAnsi="Book Antiqua"/>
        </w:rPr>
      </w:pPr>
      <w:r w:rsidRPr="004E3157">
        <w:rPr>
          <w:rFonts w:ascii="Book Antiqua" w:hAnsi="Book Antiqua"/>
          <w:b/>
          <w:bCs/>
          <w:sz w:val="24"/>
          <w:szCs w:val="24"/>
        </w:rPr>
        <w:t>Abstract</w:t>
      </w:r>
    </w:p>
    <w:p w14:paraId="5E66AE5D" w14:textId="4E16D676" w:rsidR="008443E5" w:rsidRPr="004E3157" w:rsidRDefault="00000000">
      <w:pPr>
        <w:spacing w:after="160" w:line="276" w:lineRule="auto"/>
        <w:jc w:val="both"/>
        <w:rPr>
          <w:rFonts w:ascii="Book Antiqua" w:hAnsi="Book Antiqua"/>
        </w:rPr>
      </w:pPr>
      <w:r w:rsidRPr="004E3157">
        <w:rPr>
          <w:rFonts w:ascii="Book Antiqua" w:hAnsi="Book Antiqua"/>
          <w:b/>
          <w:bCs/>
        </w:rPr>
        <w:t>Background.</w:t>
      </w:r>
      <w:r w:rsidRPr="004E3157">
        <w:rPr>
          <w:rFonts w:ascii="Book Antiqua" w:hAnsi="Book Antiqua"/>
        </w:rPr>
        <w:t xml:space="preserve"> Sepsis is </w:t>
      </w:r>
      <w:r w:rsidR="00917531" w:rsidRPr="004E3157">
        <w:rPr>
          <w:rFonts w:ascii="Book Antiqua" w:hAnsi="Book Antiqua"/>
        </w:rPr>
        <w:t>one of the</w:t>
      </w:r>
      <w:r w:rsidRPr="004E3157">
        <w:rPr>
          <w:rFonts w:ascii="Book Antiqua" w:hAnsi="Book Antiqua"/>
        </w:rPr>
        <w:t xml:space="preserve"> leading </w:t>
      </w:r>
      <w:r w:rsidR="00917531" w:rsidRPr="004E3157">
        <w:rPr>
          <w:rFonts w:ascii="Book Antiqua" w:hAnsi="Book Antiqua"/>
        </w:rPr>
        <w:t>causes</w:t>
      </w:r>
      <w:r w:rsidRPr="004E3157">
        <w:rPr>
          <w:rFonts w:ascii="Book Antiqua" w:hAnsi="Book Antiqua"/>
        </w:rPr>
        <w:t xml:space="preserve"> of death</w:t>
      </w:r>
      <w:r w:rsidR="00917531" w:rsidRPr="004E3157">
        <w:rPr>
          <w:rFonts w:ascii="Book Antiqua" w:hAnsi="Book Antiqua"/>
        </w:rPr>
        <w:t xml:space="preserve"> globally</w:t>
      </w:r>
      <w:r w:rsidRPr="004E3157">
        <w:rPr>
          <w:rFonts w:ascii="Book Antiqua" w:hAnsi="Book Antiqua"/>
        </w:rPr>
        <w:t xml:space="preserve">, accounting for an estimated 11 million deaths and 19.7% of all global deaths in 2017.¹ Each hour of delayed antimicrobial treatment is associated with increased mortality, </w:t>
      </w:r>
      <w:r w:rsidR="006B5058" w:rsidRPr="004E3157">
        <w:rPr>
          <w:rFonts w:ascii="Book Antiqua" w:hAnsi="Book Antiqua"/>
        </w:rPr>
        <w:t>encouraging</w:t>
      </w:r>
      <w:r w:rsidRPr="004E3157">
        <w:rPr>
          <w:rFonts w:ascii="Book Antiqua" w:hAnsi="Book Antiqua"/>
        </w:rPr>
        <w:t xml:space="preserve"> automated early-warning systems. However, reported performance varies widely across studies and is highly sensitive to evaluation design: a recent systematic review of 91 sepsis real-time prediction models found that median official Utility Scores fell from 0.381 under internal validation to −0.164 under external validation, and that partial-window evaluation systematically </w:t>
      </w:r>
      <w:r w:rsidR="00316726" w:rsidRPr="004E3157">
        <w:rPr>
          <w:rFonts w:ascii="Book Antiqua" w:hAnsi="Book Antiqua"/>
        </w:rPr>
        <w:t>increases</w:t>
      </w:r>
      <w:r w:rsidRPr="004E3157">
        <w:rPr>
          <w:rFonts w:ascii="Book Antiqua" w:hAnsi="Book Antiqua"/>
        </w:rPr>
        <w:t xml:space="preserve"> apparent accuracy.² External validation of a widely deployed proprietary sepsis model </w:t>
      </w:r>
      <w:r w:rsidR="00316726" w:rsidRPr="004E3157">
        <w:rPr>
          <w:rFonts w:ascii="Book Antiqua" w:hAnsi="Book Antiqua"/>
        </w:rPr>
        <w:t>similarly</w:t>
      </w:r>
      <w:r w:rsidRPr="004E3157">
        <w:rPr>
          <w:rFonts w:ascii="Book Antiqua" w:hAnsi="Book Antiqua"/>
        </w:rPr>
        <w:t xml:space="preserve"> yielded an AUROC of 0.63, far below developer-reported figures.</w:t>
      </w:r>
      <w:r w:rsidR="00B43FD8" w:rsidRPr="004E3157">
        <w:rPr>
          <w:rFonts w:ascii="Book Antiqua" w:hAnsi="Book Antiqua"/>
        </w:rPr>
        <w:t xml:space="preserve"> </w:t>
      </w:r>
      <w:r w:rsidR="00257E65" w:rsidRPr="004E3157">
        <w:rPr>
          <w:rFonts w:ascii="Book Antiqua" w:hAnsi="Book Antiqua"/>
        </w:rPr>
        <w:t xml:space="preserve">³, </w:t>
      </w:r>
      <w:r w:rsidR="00257E65" w:rsidRPr="004E3157">
        <w:rPr>
          <w:rFonts w:ascii="Cambria Math" w:hAnsi="Cambria Math" w:cs="Cambria Math"/>
        </w:rPr>
        <w:t>⁹</w:t>
      </w:r>
    </w:p>
    <w:p w14:paraId="5E66AE5E" w14:textId="572E02A0" w:rsidR="008443E5" w:rsidRPr="004E3157" w:rsidRDefault="00000000">
      <w:pPr>
        <w:spacing w:after="160" w:line="276" w:lineRule="auto"/>
        <w:jc w:val="both"/>
        <w:rPr>
          <w:rFonts w:ascii="Book Antiqua" w:hAnsi="Book Antiqua"/>
        </w:rPr>
      </w:pPr>
      <w:r w:rsidRPr="004E3157">
        <w:rPr>
          <w:rFonts w:ascii="Book Antiqua" w:hAnsi="Book Antiqua"/>
          <w:b/>
          <w:bCs/>
        </w:rPr>
        <w:t>Methods.</w:t>
      </w:r>
      <w:r w:rsidRPr="004E3157">
        <w:rPr>
          <w:rFonts w:ascii="Book Antiqua" w:hAnsi="Book Antiqua"/>
        </w:rPr>
        <w:t xml:space="preserve"> We analysed Training Set A of the PhysioNet</w:t>
      </w:r>
      <w:r w:rsidR="00C31CB4" w:rsidRPr="004E3157">
        <w:rPr>
          <w:rFonts w:ascii="Book Antiqua" w:hAnsi="Book Antiqua"/>
        </w:rPr>
        <w:t xml:space="preserve"> dataset</w:t>
      </w:r>
      <w:r w:rsidRPr="004E3157">
        <w:rPr>
          <w:rFonts w:ascii="Book Antiqua" w:hAnsi="Book Antiqua"/>
        </w:rPr>
        <w:t xml:space="preserve"> (Beth Israel Deaconess Medical </w:t>
      </w:r>
      <w:proofErr w:type="spellStart"/>
      <w:r w:rsidRPr="004E3157">
        <w:rPr>
          <w:rFonts w:ascii="Book Antiqua" w:hAnsi="Book Antiqua"/>
        </w:rPr>
        <w:t>Center</w:t>
      </w:r>
      <w:proofErr w:type="spellEnd"/>
      <w:r w:rsidRPr="004E3157">
        <w:rPr>
          <w:rFonts w:ascii="Book Antiqua" w:hAnsi="Book Antiqua"/>
        </w:rPr>
        <w:t>; 20,336 ICU admissions)</w:t>
      </w:r>
      <w:r w:rsidR="00063B17" w:rsidRPr="004E3157">
        <w:rPr>
          <w:rFonts w:ascii="Book Antiqua" w:hAnsi="Book Antiqua"/>
        </w:rPr>
        <w:t xml:space="preserve"> </w:t>
      </w:r>
      <w:r w:rsidR="00063B17" w:rsidRPr="004E3157">
        <w:rPr>
          <w:rFonts w:ascii="Book Antiqua" w:hAnsi="Book Antiqua"/>
        </w:rPr>
        <w:t>¹¹</w:t>
      </w:r>
      <w:r w:rsidRPr="004E3157">
        <w:rPr>
          <w:rFonts w:ascii="Book Antiqua" w:hAnsi="Book Antiqua"/>
        </w:rPr>
        <w:t xml:space="preserve"> predicting sepsis onset in advance according to the Sepsis-3 </w:t>
      </w:r>
      <w:r w:rsidR="00494E8B" w:rsidRPr="004E3157">
        <w:rPr>
          <w:rFonts w:ascii="Book Antiqua" w:hAnsi="Book Antiqua"/>
        </w:rPr>
        <w:t>definition</w:t>
      </w:r>
      <w:r w:rsidR="00257E65" w:rsidRPr="004E3157">
        <w:rPr>
          <w:rFonts w:ascii="Cambria Math" w:hAnsi="Cambria Math" w:cs="Cambria Math"/>
        </w:rPr>
        <w:t>⁴</w:t>
      </w:r>
      <w:r w:rsidR="00257E65" w:rsidRPr="004E3157">
        <w:rPr>
          <w:rFonts w:ascii="Book Antiqua" w:hAnsi="Book Antiqua"/>
        </w:rPr>
        <w:t xml:space="preserve">, </w:t>
      </w:r>
      <w:r w:rsidR="00257E65" w:rsidRPr="004E3157">
        <w:rPr>
          <w:rFonts w:ascii="Cambria Math" w:hAnsi="Cambria Math" w:cs="Cambria Math"/>
        </w:rPr>
        <w:t>⁵</w:t>
      </w:r>
      <w:r w:rsidR="00724D32" w:rsidRPr="004E3157">
        <w:rPr>
          <w:rFonts w:ascii="Book Antiqua" w:hAnsi="Book Antiqua"/>
        </w:rPr>
        <w:t xml:space="preserve">. </w:t>
      </w:r>
      <w:r w:rsidR="00494E8B" w:rsidRPr="004E3157">
        <w:rPr>
          <w:rFonts w:ascii="Book Antiqua" w:hAnsi="Book Antiqua"/>
        </w:rPr>
        <w:t>From 40 routinely collected variables</w:t>
      </w:r>
      <w:r w:rsidR="00440F6F" w:rsidRPr="004E3157">
        <w:rPr>
          <w:rFonts w:ascii="Book Antiqua" w:hAnsi="Book Antiqua"/>
        </w:rPr>
        <w:t>,</w:t>
      </w:r>
      <w:r w:rsidR="00494E8B" w:rsidRPr="004E3157">
        <w:rPr>
          <w:rFonts w:ascii="Book Antiqua" w:hAnsi="Book Antiqua"/>
        </w:rPr>
        <w:t xml:space="preserve"> we derived an expanded feature set </w:t>
      </w:r>
      <w:r w:rsidR="003F4045" w:rsidRPr="004E3157">
        <w:rPr>
          <w:rFonts w:ascii="Book Antiqua" w:hAnsi="Book Antiqua"/>
        </w:rPr>
        <w:t>containing</w:t>
      </w:r>
      <w:r w:rsidR="00494E8B" w:rsidRPr="004E3157">
        <w:rPr>
          <w:rFonts w:ascii="Book Antiqua" w:hAnsi="Book Antiqua"/>
        </w:rPr>
        <w:t xml:space="preserve"> first-difference terms, rolling-window statistics, shock index and a SOFA proxy score. Prior work has found that clinically derived features of this kind, particularly composite severity indices, are associated with improved sepsis prediction </w:t>
      </w:r>
      <w:r w:rsidR="00690F4A" w:rsidRPr="004E3157">
        <w:rPr>
          <w:rFonts w:ascii="Book Antiqua" w:hAnsi="Book Antiqua"/>
        </w:rPr>
        <w:t>performance. ²</w:t>
      </w:r>
      <w:r w:rsidRPr="004E3157">
        <w:rPr>
          <w:rFonts w:ascii="Book Antiqua" w:hAnsi="Book Antiqua"/>
        </w:rPr>
        <w:t xml:space="preserve"> Six-hour sliding windows were constructed for each patient. We compared logistic regression, Random Forest, </w:t>
      </w:r>
      <w:proofErr w:type="spellStart"/>
      <w:r w:rsidRPr="004E3157">
        <w:rPr>
          <w:rFonts w:ascii="Book Antiqua" w:hAnsi="Book Antiqua"/>
        </w:rPr>
        <w:t>XGBoost</w:t>
      </w:r>
      <w:proofErr w:type="spellEnd"/>
      <w:r w:rsidRPr="004E3157">
        <w:rPr>
          <w:rFonts w:ascii="Book Antiqua" w:hAnsi="Book Antiqua"/>
        </w:rPr>
        <w:t xml:space="preserve">, </w:t>
      </w:r>
      <w:proofErr w:type="spellStart"/>
      <w:r w:rsidRPr="004E3157">
        <w:rPr>
          <w:rFonts w:ascii="Book Antiqua" w:hAnsi="Book Antiqua"/>
        </w:rPr>
        <w:t>LightGBM</w:t>
      </w:r>
      <w:proofErr w:type="spellEnd"/>
      <w:r w:rsidRPr="004E3157">
        <w:rPr>
          <w:rFonts w:ascii="Book Antiqua" w:hAnsi="Book Antiqua"/>
        </w:rPr>
        <w:t>, a Transformer encoder and a bidirectional LSTM with multi-head attention under identical preprocessing. Because sliding windows overlap substantially, we evaluated the effect of partitioning data at the window level versus the patient level. Discrimination was assessed by AUROC and AUPRC, clinical value by decision-curve analysis, and interpretability by SHAP. Reporting follows TRIPOD+AI.</w:t>
      </w:r>
      <w:r w:rsidR="00950610" w:rsidRPr="004E3157">
        <w:rPr>
          <w:rFonts w:ascii="Book Antiqua" w:hAnsi="Book Antiqua"/>
        </w:rPr>
        <w:t xml:space="preserve"> </w:t>
      </w:r>
      <w:proofErr w:type="gramStart"/>
      <w:r w:rsidR="00950610" w:rsidRPr="004E3157">
        <w:rPr>
          <w:rFonts w:ascii="Cambria Math" w:hAnsi="Cambria Math" w:cs="Cambria Math"/>
        </w:rPr>
        <w:t>⁶</w:t>
      </w:r>
      <w:r w:rsidR="00950610" w:rsidRPr="004E3157">
        <w:rPr>
          <w:rFonts w:ascii="Book Antiqua" w:hAnsi="Book Antiqua"/>
        </w:rPr>
        <w:t>,</w:t>
      </w:r>
      <w:r w:rsidR="00950610" w:rsidRPr="004E3157">
        <w:rPr>
          <w:rFonts w:ascii="Book Antiqua" w:hAnsi="Book Antiqua" w:cs="Book Antiqua"/>
        </w:rPr>
        <w:t>¹</w:t>
      </w:r>
      <w:proofErr w:type="gramEnd"/>
      <w:r w:rsidR="00950610" w:rsidRPr="004E3157">
        <w:rPr>
          <w:rFonts w:ascii="Cambria Math" w:hAnsi="Cambria Math" w:cs="Cambria Math"/>
        </w:rPr>
        <w:t>⁰</w:t>
      </w:r>
    </w:p>
    <w:p w14:paraId="5E66AE5F" w14:textId="7A611B64" w:rsidR="008443E5" w:rsidRPr="004E3157" w:rsidRDefault="00000000">
      <w:pPr>
        <w:spacing w:after="160" w:line="276" w:lineRule="auto"/>
        <w:jc w:val="both"/>
        <w:rPr>
          <w:rFonts w:ascii="Book Antiqua" w:hAnsi="Book Antiqua"/>
        </w:rPr>
      </w:pPr>
      <w:r w:rsidRPr="004E3157">
        <w:rPr>
          <w:rFonts w:ascii="Book Antiqua" w:hAnsi="Book Antiqua"/>
          <w:b/>
          <w:bCs/>
        </w:rPr>
        <w:t>Results.</w:t>
      </w:r>
      <w:r w:rsidRPr="004E3157">
        <w:rPr>
          <w:rFonts w:ascii="Book Antiqua" w:hAnsi="Book Antiqua"/>
        </w:rPr>
        <w:t xml:space="preserve"> Under patient-independent evaluation, gradient boosting achieved AUROC 0.755 (</w:t>
      </w:r>
      <w:proofErr w:type="spellStart"/>
      <w:r w:rsidRPr="004E3157">
        <w:rPr>
          <w:rFonts w:ascii="Book Antiqua" w:hAnsi="Book Antiqua"/>
        </w:rPr>
        <w:t>XGBoost</w:t>
      </w:r>
      <w:proofErr w:type="spellEnd"/>
      <w:r w:rsidRPr="004E3157">
        <w:rPr>
          <w:rFonts w:ascii="Book Antiqua" w:hAnsi="Book Antiqua"/>
        </w:rPr>
        <w:t>) and 0.741 (</w:t>
      </w:r>
      <w:proofErr w:type="spellStart"/>
      <w:r w:rsidRPr="004E3157">
        <w:rPr>
          <w:rFonts w:ascii="Book Antiqua" w:hAnsi="Book Antiqua"/>
        </w:rPr>
        <w:t>LightGBM</w:t>
      </w:r>
      <w:proofErr w:type="spellEnd"/>
      <w:r w:rsidRPr="004E3157">
        <w:rPr>
          <w:rFonts w:ascii="Book Antiqua" w:hAnsi="Book Antiqua"/>
        </w:rPr>
        <w:t xml:space="preserve">) for six-hour-ahead prediction, consistent with the pooled full-window internal median of 0.811 (IQR 0.760–0.842) reported across the literature.² Performance </w:t>
      </w:r>
      <w:r w:rsidR="005C49E7" w:rsidRPr="004E3157">
        <w:rPr>
          <w:rFonts w:ascii="Book Antiqua" w:hAnsi="Book Antiqua"/>
        </w:rPr>
        <w:t>reduced</w:t>
      </w:r>
      <w:r w:rsidRPr="004E3157">
        <w:rPr>
          <w:rFonts w:ascii="Book Antiqua" w:hAnsi="Book Antiqua"/>
        </w:rPr>
        <w:t xml:space="preserve"> only marginally as the horizon extended from three to twelve hours (</w:t>
      </w:r>
      <w:proofErr w:type="spellStart"/>
      <w:r w:rsidRPr="004E3157">
        <w:rPr>
          <w:rFonts w:ascii="Book Antiqua" w:hAnsi="Book Antiqua"/>
        </w:rPr>
        <w:t>XGBoost</w:t>
      </w:r>
      <w:proofErr w:type="spellEnd"/>
      <w:r w:rsidRPr="004E3157">
        <w:rPr>
          <w:rFonts w:ascii="Book Antiqua" w:hAnsi="Book Antiqua"/>
        </w:rPr>
        <w:t xml:space="preserve"> 0.760, 0.755 and 0.750 respectively), indicating that the physiological signal supporting early detection </w:t>
      </w:r>
      <w:r w:rsidRPr="004E3157">
        <w:rPr>
          <w:rFonts w:ascii="Book Antiqua" w:hAnsi="Book Antiqua"/>
        </w:rPr>
        <w:lastRenderedPageBreak/>
        <w:t xml:space="preserve">is not </w:t>
      </w:r>
      <w:r w:rsidR="0043023C" w:rsidRPr="004E3157">
        <w:rPr>
          <w:rFonts w:ascii="Book Antiqua" w:hAnsi="Book Antiqua"/>
        </w:rPr>
        <w:t>intense</w:t>
      </w:r>
      <w:r w:rsidRPr="004E3157">
        <w:rPr>
          <w:rFonts w:ascii="Book Antiqua" w:hAnsi="Book Antiqua"/>
        </w:rPr>
        <w:t xml:space="preserve"> immediately before onset. Restricting </w:t>
      </w:r>
      <w:proofErr w:type="spellStart"/>
      <w:r w:rsidRPr="004E3157">
        <w:rPr>
          <w:rFonts w:ascii="Book Antiqua" w:hAnsi="Book Antiqua"/>
        </w:rPr>
        <w:t>XGBoost</w:t>
      </w:r>
      <w:proofErr w:type="spellEnd"/>
      <w:r w:rsidRPr="004E3157">
        <w:rPr>
          <w:rFonts w:ascii="Book Antiqua" w:hAnsi="Book Antiqua"/>
        </w:rPr>
        <w:t xml:space="preserve"> to ten routinely available variables yielded AUROC 0.735. Window-level partitioning </w:t>
      </w:r>
      <w:r w:rsidR="0043023C" w:rsidRPr="004E3157">
        <w:rPr>
          <w:rFonts w:ascii="Book Antiqua" w:hAnsi="Book Antiqua"/>
        </w:rPr>
        <w:t>increased</w:t>
      </w:r>
      <w:r w:rsidRPr="004E3157">
        <w:rPr>
          <w:rFonts w:ascii="Book Antiqua" w:hAnsi="Book Antiqua"/>
        </w:rPr>
        <w:t xml:space="preserve"> apparent performance </w:t>
      </w:r>
      <w:r w:rsidR="00EB6079" w:rsidRPr="004E3157">
        <w:rPr>
          <w:rFonts w:ascii="Book Antiqua" w:hAnsi="Book Antiqua"/>
        </w:rPr>
        <w:t xml:space="preserve">significantly, </w:t>
      </w:r>
      <w:r w:rsidRPr="004E3157">
        <w:rPr>
          <w:rFonts w:ascii="Book Antiqua" w:hAnsi="Book Antiqua"/>
        </w:rPr>
        <w:t>up to AUROC 0.99 for high-capacity models</w:t>
      </w:r>
      <w:r w:rsidR="00494194" w:rsidRPr="004E3157">
        <w:rPr>
          <w:rFonts w:ascii="Book Antiqua" w:hAnsi="Book Antiqua"/>
        </w:rPr>
        <w:t>,</w:t>
      </w:r>
      <w:r w:rsidRPr="004E3157">
        <w:rPr>
          <w:rFonts w:ascii="Book Antiqua" w:hAnsi="Book Antiqua"/>
        </w:rPr>
        <w:t xml:space="preserve"> with the magnitude of inflation scaling with model capacity to memorise individual patients; comparable subject-level leakage effects have been documented in other clinical domains.</w:t>
      </w:r>
      <w:r w:rsidRPr="004E3157">
        <w:rPr>
          <w:rFonts w:ascii="Cambria Math" w:hAnsi="Cambria Math" w:cs="Cambria Math"/>
        </w:rPr>
        <w:t>⁷</w:t>
      </w:r>
      <w:r w:rsidRPr="004E3157">
        <w:rPr>
          <w:rFonts w:ascii="Book Antiqua" w:hAnsi="Book Antiqua"/>
        </w:rPr>
        <w:t xml:space="preserve"> SHAP analysis ranked administrative variables, notably time from hospital to ICU admission and ICU unit type, established physiological markers such as lactate and leukocyte count, indicating that models capture care-process intensity alongside pathophysiology. Decision-curve analysis showed limited net benefit over a treat-</w:t>
      </w:r>
      <w:proofErr w:type="gramStart"/>
      <w:r w:rsidRPr="004E3157">
        <w:rPr>
          <w:rFonts w:ascii="Book Antiqua" w:hAnsi="Book Antiqua"/>
        </w:rPr>
        <w:t>none</w:t>
      </w:r>
      <w:proofErr w:type="gramEnd"/>
      <w:r w:rsidRPr="004E3157">
        <w:rPr>
          <w:rFonts w:ascii="Book Antiqua" w:hAnsi="Book Antiqua"/>
        </w:rPr>
        <w:t xml:space="preserve"> strategy across clinically plausible thresholds.</w:t>
      </w:r>
    </w:p>
    <w:p w14:paraId="5E66AE60" w14:textId="72C6FAF6" w:rsidR="008443E5" w:rsidRPr="004E3157" w:rsidRDefault="00000000">
      <w:pPr>
        <w:spacing w:after="160" w:line="276" w:lineRule="auto"/>
        <w:jc w:val="both"/>
        <w:rPr>
          <w:rFonts w:ascii="Book Antiqua" w:hAnsi="Book Antiqua"/>
        </w:rPr>
      </w:pPr>
      <w:r w:rsidRPr="004E3157">
        <w:rPr>
          <w:rFonts w:ascii="Book Antiqua" w:hAnsi="Book Antiqua"/>
          <w:b/>
          <w:bCs/>
        </w:rPr>
        <w:t>Conclusions.</w:t>
      </w:r>
      <w:r w:rsidRPr="004E3157">
        <w:rPr>
          <w:rFonts w:ascii="Book Antiqua" w:hAnsi="Book Antiqua"/>
        </w:rPr>
        <w:t xml:space="preserve"> Modest but temporally stable discrimination is achievable up to twelve hours before sepsis onset using routinely collected ICU data, with gradient boosting remaining competitive with deep sequence architectures</w:t>
      </w:r>
      <w:r w:rsidR="009925B5" w:rsidRPr="004E3157">
        <w:rPr>
          <w:rFonts w:ascii="Book Antiqua" w:hAnsi="Book Antiqua"/>
        </w:rPr>
        <w:t xml:space="preserve">, </w:t>
      </w:r>
      <w:r w:rsidRPr="004E3157">
        <w:rPr>
          <w:rFonts w:ascii="Book Antiqua" w:hAnsi="Book Antiqua"/>
        </w:rPr>
        <w:t>consistent with meta-analytic evidence that algorithm choice has limited influence on sepsis prediction performance.²,</w:t>
      </w:r>
      <w:r w:rsidRPr="004E3157">
        <w:rPr>
          <w:rFonts w:ascii="Cambria Math" w:hAnsi="Cambria Math" w:cs="Cambria Math"/>
        </w:rPr>
        <w:t>⁸</w:t>
      </w:r>
      <w:r w:rsidRPr="004E3157">
        <w:rPr>
          <w:rFonts w:ascii="Book Antiqua" w:hAnsi="Book Antiqua"/>
        </w:rPr>
        <w:t xml:space="preserve"> Two findings </w:t>
      </w:r>
      <w:r w:rsidR="003A71CA" w:rsidRPr="004E3157">
        <w:rPr>
          <w:rFonts w:ascii="Book Antiqua" w:hAnsi="Book Antiqua"/>
        </w:rPr>
        <w:t xml:space="preserve">qualify the interpretation of reported </w:t>
      </w:r>
      <w:r w:rsidRPr="004E3157">
        <w:rPr>
          <w:rFonts w:ascii="Book Antiqua" w:hAnsi="Book Antiqua"/>
        </w:rPr>
        <w:t>accuracy in this field: evaluation design exerts a larger effect on apparent performance than model architecture does, and feature attribution suggests partial dependence on clinician measurement behaviour rather than physiology alone. Patient-independent partitioning, full-window evaluation and decision-curve reporting should be standard when benchmarking sepsis early-warning models.</w:t>
      </w:r>
    </w:p>
    <w:p w14:paraId="5E66AE61" w14:textId="77777777" w:rsidR="008443E5" w:rsidRPr="004E3157" w:rsidRDefault="00000000" w:rsidP="004C145F">
      <w:pPr>
        <w:spacing w:after="200" w:line="276" w:lineRule="auto"/>
        <w:jc w:val="both"/>
        <w:rPr>
          <w:rFonts w:ascii="Book Antiqua" w:hAnsi="Book Antiqua"/>
        </w:rPr>
      </w:pPr>
      <w:r w:rsidRPr="004E3157">
        <w:rPr>
          <w:rFonts w:ascii="Book Antiqua" w:hAnsi="Book Antiqua"/>
          <w:b/>
          <w:bCs/>
        </w:rPr>
        <w:t xml:space="preserve">Keywords: </w:t>
      </w:r>
      <w:r w:rsidRPr="004E3157">
        <w:rPr>
          <w:rFonts w:ascii="Book Antiqua" w:hAnsi="Book Antiqua"/>
          <w:i/>
          <w:iCs/>
        </w:rPr>
        <w:t>sepsis; machine learning; intensive care; early warning; PhysioNet; clinical prediction models; data leakage</w:t>
      </w:r>
    </w:p>
    <w:p w14:paraId="5E66AE62" w14:textId="77777777" w:rsidR="008443E5" w:rsidRPr="004E3157" w:rsidRDefault="00000000">
      <w:pPr>
        <w:pStyle w:val="Heading1"/>
        <w:rPr>
          <w:rFonts w:ascii="Book Antiqua" w:hAnsi="Book Antiqua"/>
        </w:rPr>
      </w:pPr>
      <w:r w:rsidRPr="004E3157">
        <w:rPr>
          <w:rFonts w:ascii="Book Antiqua" w:hAnsi="Book Antiqua"/>
        </w:rPr>
        <w:t>References</w:t>
      </w:r>
    </w:p>
    <w:p w14:paraId="5E66AE63" w14:textId="57F45916" w:rsidR="008443E5" w:rsidRPr="004E3157" w:rsidRDefault="00000000">
      <w:pPr>
        <w:spacing w:after="120"/>
        <w:ind w:left="431" w:hanging="431"/>
        <w:rPr>
          <w:rFonts w:ascii="Book Antiqua" w:hAnsi="Book Antiqua"/>
        </w:rPr>
      </w:pPr>
      <w:r w:rsidRPr="004E3157">
        <w:rPr>
          <w:rFonts w:ascii="Book Antiqua" w:hAnsi="Book Antiqua"/>
          <w:sz w:val="20"/>
          <w:szCs w:val="20"/>
        </w:rPr>
        <w:t xml:space="preserve">1. Rudd KE, Johnson SC, </w:t>
      </w:r>
      <w:proofErr w:type="spellStart"/>
      <w:r w:rsidRPr="004E3157">
        <w:rPr>
          <w:rFonts w:ascii="Book Antiqua" w:hAnsi="Book Antiqua"/>
          <w:sz w:val="20"/>
          <w:szCs w:val="20"/>
        </w:rPr>
        <w:t>Agesa</w:t>
      </w:r>
      <w:proofErr w:type="spellEnd"/>
      <w:r w:rsidRPr="004E3157">
        <w:rPr>
          <w:rFonts w:ascii="Book Antiqua" w:hAnsi="Book Antiqua"/>
          <w:sz w:val="20"/>
          <w:szCs w:val="20"/>
        </w:rPr>
        <w:t xml:space="preserve"> KM, et al. Global, regional, and national sepsis incidence and mortality, 1990–2017: analysis for the Global Burden of Disease Study. Lancet. 2020;395(10219):200–211. doi:10.1016/S0140-6736(19)32989-7</w:t>
      </w:r>
      <w:r w:rsidR="00385490" w:rsidRPr="004E3157">
        <w:rPr>
          <w:rFonts w:ascii="Book Antiqua" w:hAnsi="Book Antiqua"/>
          <w:sz w:val="20"/>
          <w:szCs w:val="20"/>
        </w:rPr>
        <w:t xml:space="preserve"> </w:t>
      </w:r>
    </w:p>
    <w:p w14:paraId="5E66AE64" w14:textId="77777777" w:rsidR="008443E5" w:rsidRPr="004E3157" w:rsidRDefault="00000000">
      <w:pPr>
        <w:spacing w:after="120"/>
        <w:ind w:left="431" w:hanging="431"/>
        <w:rPr>
          <w:rFonts w:ascii="Book Antiqua" w:hAnsi="Book Antiqua"/>
        </w:rPr>
      </w:pPr>
      <w:r w:rsidRPr="004E3157">
        <w:rPr>
          <w:rFonts w:ascii="Book Antiqua" w:hAnsi="Book Antiqua"/>
          <w:sz w:val="20"/>
          <w:szCs w:val="20"/>
        </w:rPr>
        <w:t xml:space="preserve">2. Wang Z, Wang W, Sun C, et al. A methodological systematic review of validation and performance of sepsis real-time prediction models. </w:t>
      </w:r>
      <w:proofErr w:type="spellStart"/>
      <w:r w:rsidRPr="004E3157">
        <w:rPr>
          <w:rFonts w:ascii="Book Antiqua" w:hAnsi="Book Antiqua"/>
          <w:sz w:val="20"/>
          <w:szCs w:val="20"/>
        </w:rPr>
        <w:t>npj</w:t>
      </w:r>
      <w:proofErr w:type="spellEnd"/>
      <w:r w:rsidRPr="004E3157">
        <w:rPr>
          <w:rFonts w:ascii="Book Antiqua" w:hAnsi="Book Antiqua"/>
          <w:sz w:val="20"/>
          <w:szCs w:val="20"/>
        </w:rPr>
        <w:t xml:space="preserve"> Digit Med. </w:t>
      </w:r>
      <w:proofErr w:type="gramStart"/>
      <w:r w:rsidRPr="004E3157">
        <w:rPr>
          <w:rFonts w:ascii="Book Antiqua" w:hAnsi="Book Antiqua"/>
          <w:sz w:val="20"/>
          <w:szCs w:val="20"/>
        </w:rPr>
        <w:t>2025;8:190</w:t>
      </w:r>
      <w:proofErr w:type="gramEnd"/>
      <w:r w:rsidRPr="004E3157">
        <w:rPr>
          <w:rFonts w:ascii="Book Antiqua" w:hAnsi="Book Antiqua"/>
          <w:sz w:val="20"/>
          <w:szCs w:val="20"/>
        </w:rPr>
        <w:t>. doi:10.1038/s41746-025-01587-1</w:t>
      </w:r>
    </w:p>
    <w:p w14:paraId="5E66AE65" w14:textId="77777777" w:rsidR="008443E5" w:rsidRPr="004E3157" w:rsidRDefault="00000000">
      <w:pPr>
        <w:spacing w:after="120"/>
        <w:ind w:left="431" w:hanging="431"/>
        <w:rPr>
          <w:rFonts w:ascii="Book Antiqua" w:hAnsi="Book Antiqua"/>
        </w:rPr>
      </w:pPr>
      <w:r w:rsidRPr="004E3157">
        <w:rPr>
          <w:rFonts w:ascii="Book Antiqua" w:hAnsi="Book Antiqua"/>
          <w:sz w:val="20"/>
          <w:szCs w:val="20"/>
        </w:rPr>
        <w:t xml:space="preserve">3. Wong A, </w:t>
      </w:r>
      <w:proofErr w:type="spellStart"/>
      <w:r w:rsidRPr="004E3157">
        <w:rPr>
          <w:rFonts w:ascii="Book Antiqua" w:hAnsi="Book Antiqua"/>
          <w:sz w:val="20"/>
          <w:szCs w:val="20"/>
        </w:rPr>
        <w:t>Otles</w:t>
      </w:r>
      <w:proofErr w:type="spellEnd"/>
      <w:r w:rsidRPr="004E3157">
        <w:rPr>
          <w:rFonts w:ascii="Book Antiqua" w:hAnsi="Book Antiqua"/>
          <w:sz w:val="20"/>
          <w:szCs w:val="20"/>
        </w:rPr>
        <w:t xml:space="preserve"> E, Donnelly JP, et al. External validation of a widely implemented proprietary sepsis prediction model in hospitalized patients. JAMA Intern Med. 2021;181(8):1065–1070. doi:10.1001/jamainternmed.2021.2626</w:t>
      </w:r>
    </w:p>
    <w:p w14:paraId="5E66AE66" w14:textId="77777777" w:rsidR="008443E5" w:rsidRPr="004E3157" w:rsidRDefault="00000000">
      <w:pPr>
        <w:spacing w:after="120"/>
        <w:ind w:left="431" w:hanging="431"/>
        <w:rPr>
          <w:rFonts w:ascii="Book Antiqua" w:hAnsi="Book Antiqua"/>
        </w:rPr>
      </w:pPr>
      <w:r w:rsidRPr="004E3157">
        <w:rPr>
          <w:rFonts w:ascii="Book Antiqua" w:hAnsi="Book Antiqua"/>
          <w:sz w:val="20"/>
          <w:szCs w:val="20"/>
        </w:rPr>
        <w:t>4. Reyna MA, Josef CS, Jeter R, et al. Early prediction of sepsis from clinical data: the PhysioNet/Computing in Cardiology Challenge 2019. Crit Care Med. 2020;48(2):210–217. doi:10.1097/CCM.0000000000004145</w:t>
      </w:r>
    </w:p>
    <w:p w14:paraId="5E66AE67" w14:textId="77777777" w:rsidR="008443E5" w:rsidRPr="004E3157" w:rsidRDefault="00000000">
      <w:pPr>
        <w:spacing w:after="120"/>
        <w:ind w:left="431" w:hanging="431"/>
        <w:rPr>
          <w:rFonts w:ascii="Book Antiqua" w:hAnsi="Book Antiqua"/>
        </w:rPr>
      </w:pPr>
      <w:r w:rsidRPr="004E3157">
        <w:rPr>
          <w:rFonts w:ascii="Book Antiqua" w:hAnsi="Book Antiqua"/>
          <w:sz w:val="20"/>
          <w:szCs w:val="20"/>
        </w:rPr>
        <w:t>5. Singer M, Deutschman CS, Seymour CW, et al. The Third International Consensus Definitions for Sepsis and Septic Shock (Sepsis-3). JAMA. 2016;315(8):801–810. doi:10.1001/jama.2016.0287</w:t>
      </w:r>
    </w:p>
    <w:p w14:paraId="5E66AE68" w14:textId="77777777" w:rsidR="008443E5" w:rsidRPr="004E3157" w:rsidRDefault="00000000">
      <w:pPr>
        <w:spacing w:after="120"/>
        <w:ind w:left="431" w:hanging="431"/>
        <w:rPr>
          <w:rFonts w:ascii="Book Antiqua" w:hAnsi="Book Antiqua"/>
        </w:rPr>
      </w:pPr>
      <w:r w:rsidRPr="004E3157">
        <w:rPr>
          <w:rFonts w:ascii="Book Antiqua" w:hAnsi="Book Antiqua"/>
          <w:sz w:val="20"/>
          <w:szCs w:val="20"/>
        </w:rPr>
        <w:t>6. Collins GS, Moons KGM, Dhiman P, et al. TRIPOD+AI statement: updated guidance for reporting clinical prediction models that use regression or machine learning methods. BMJ. 2024;</w:t>
      </w:r>
      <w:proofErr w:type="gramStart"/>
      <w:r w:rsidRPr="004E3157">
        <w:rPr>
          <w:rFonts w:ascii="Book Antiqua" w:hAnsi="Book Antiqua"/>
          <w:sz w:val="20"/>
          <w:szCs w:val="20"/>
        </w:rPr>
        <w:t>385:e</w:t>
      </w:r>
      <w:proofErr w:type="gramEnd"/>
      <w:r w:rsidRPr="004E3157">
        <w:rPr>
          <w:rFonts w:ascii="Book Antiqua" w:hAnsi="Book Antiqua"/>
          <w:sz w:val="20"/>
          <w:szCs w:val="20"/>
        </w:rPr>
        <w:t>078378. doi:10.1136/bmj-2023-078378</w:t>
      </w:r>
    </w:p>
    <w:p w14:paraId="5E66AE69" w14:textId="77777777" w:rsidR="008443E5" w:rsidRPr="004E3157" w:rsidRDefault="00000000">
      <w:pPr>
        <w:spacing w:after="120"/>
        <w:ind w:left="431" w:hanging="431"/>
        <w:rPr>
          <w:rFonts w:ascii="Book Antiqua" w:hAnsi="Book Antiqua"/>
        </w:rPr>
      </w:pPr>
      <w:r w:rsidRPr="004E3157">
        <w:rPr>
          <w:rFonts w:ascii="Book Antiqua" w:hAnsi="Book Antiqua"/>
          <w:sz w:val="20"/>
          <w:szCs w:val="20"/>
        </w:rPr>
        <w:t xml:space="preserve">7. Brookshire G, Kasper J, Blauch NM, Wu YC, Glatt R, Merrill DA, et al. Data leakage in deep learning studies of translational EEG. Front </w:t>
      </w:r>
      <w:proofErr w:type="spellStart"/>
      <w:r w:rsidRPr="004E3157">
        <w:rPr>
          <w:rFonts w:ascii="Book Antiqua" w:hAnsi="Book Antiqua"/>
          <w:sz w:val="20"/>
          <w:szCs w:val="20"/>
        </w:rPr>
        <w:t>Neurosci</w:t>
      </w:r>
      <w:proofErr w:type="spellEnd"/>
      <w:r w:rsidRPr="004E3157">
        <w:rPr>
          <w:rFonts w:ascii="Book Antiqua" w:hAnsi="Book Antiqua"/>
          <w:sz w:val="20"/>
          <w:szCs w:val="20"/>
        </w:rPr>
        <w:t xml:space="preserve">. </w:t>
      </w:r>
      <w:proofErr w:type="gramStart"/>
      <w:r w:rsidRPr="004E3157">
        <w:rPr>
          <w:rFonts w:ascii="Book Antiqua" w:hAnsi="Book Antiqua"/>
          <w:sz w:val="20"/>
          <w:szCs w:val="20"/>
        </w:rPr>
        <w:t>2024;18:1373515</w:t>
      </w:r>
      <w:proofErr w:type="gramEnd"/>
      <w:r w:rsidRPr="004E3157">
        <w:rPr>
          <w:rFonts w:ascii="Book Antiqua" w:hAnsi="Book Antiqua"/>
          <w:sz w:val="20"/>
          <w:szCs w:val="20"/>
        </w:rPr>
        <w:t>. doi:10.3389/fnins.2024.1373515</w:t>
      </w:r>
    </w:p>
    <w:p w14:paraId="5E66AE6A" w14:textId="77777777" w:rsidR="008443E5" w:rsidRPr="004E3157" w:rsidRDefault="00000000">
      <w:pPr>
        <w:spacing w:after="120"/>
        <w:ind w:left="431" w:hanging="431"/>
        <w:rPr>
          <w:rFonts w:ascii="Book Antiqua" w:hAnsi="Book Antiqua"/>
        </w:rPr>
      </w:pPr>
      <w:r w:rsidRPr="004E3157">
        <w:rPr>
          <w:rFonts w:ascii="Book Antiqua" w:hAnsi="Book Antiqua"/>
          <w:sz w:val="20"/>
          <w:szCs w:val="20"/>
        </w:rPr>
        <w:lastRenderedPageBreak/>
        <w:t xml:space="preserve">8. </w:t>
      </w:r>
      <w:proofErr w:type="spellStart"/>
      <w:r w:rsidRPr="004E3157">
        <w:rPr>
          <w:rFonts w:ascii="Book Antiqua" w:hAnsi="Book Antiqua"/>
          <w:sz w:val="20"/>
          <w:szCs w:val="20"/>
        </w:rPr>
        <w:t>Fleuren</w:t>
      </w:r>
      <w:proofErr w:type="spellEnd"/>
      <w:r w:rsidRPr="004E3157">
        <w:rPr>
          <w:rFonts w:ascii="Book Antiqua" w:hAnsi="Book Antiqua"/>
          <w:sz w:val="20"/>
          <w:szCs w:val="20"/>
        </w:rPr>
        <w:t xml:space="preserve"> LM, </w:t>
      </w:r>
      <w:proofErr w:type="spellStart"/>
      <w:r w:rsidRPr="004E3157">
        <w:rPr>
          <w:rFonts w:ascii="Book Antiqua" w:hAnsi="Book Antiqua"/>
          <w:sz w:val="20"/>
          <w:szCs w:val="20"/>
        </w:rPr>
        <w:t>Klausch</w:t>
      </w:r>
      <w:proofErr w:type="spellEnd"/>
      <w:r w:rsidRPr="004E3157">
        <w:rPr>
          <w:rFonts w:ascii="Book Antiqua" w:hAnsi="Book Antiqua"/>
          <w:sz w:val="20"/>
          <w:szCs w:val="20"/>
        </w:rPr>
        <w:t xml:space="preserve"> TLT, </w:t>
      </w:r>
      <w:proofErr w:type="spellStart"/>
      <w:r w:rsidRPr="004E3157">
        <w:rPr>
          <w:rFonts w:ascii="Book Antiqua" w:hAnsi="Book Antiqua"/>
          <w:sz w:val="20"/>
          <w:szCs w:val="20"/>
        </w:rPr>
        <w:t>Zwager</w:t>
      </w:r>
      <w:proofErr w:type="spellEnd"/>
      <w:r w:rsidRPr="004E3157">
        <w:rPr>
          <w:rFonts w:ascii="Book Antiqua" w:hAnsi="Book Antiqua"/>
          <w:sz w:val="20"/>
          <w:szCs w:val="20"/>
        </w:rPr>
        <w:t xml:space="preserve"> CL, et al. Machine learning for the prediction of sepsis: a systematic review and meta-analysis of diagnostic test accuracy. Intensive Care Med. 2020;46(3):383–400. doi:10.1007/s00134-019-05872-y</w:t>
      </w:r>
    </w:p>
    <w:p w14:paraId="5E66AE6B" w14:textId="77777777" w:rsidR="008443E5" w:rsidRPr="004E3157" w:rsidRDefault="00000000">
      <w:pPr>
        <w:spacing w:after="120"/>
        <w:ind w:left="431" w:hanging="431"/>
        <w:rPr>
          <w:rFonts w:ascii="Book Antiqua" w:hAnsi="Book Antiqua"/>
        </w:rPr>
      </w:pPr>
      <w:r w:rsidRPr="004E3157">
        <w:rPr>
          <w:rFonts w:ascii="Book Antiqua" w:hAnsi="Book Antiqua"/>
          <w:sz w:val="20"/>
          <w:szCs w:val="20"/>
        </w:rPr>
        <w:t>9. Collins GS, Dhiman P, Ma J, et al. Evaluation of clinical prediction models (part 1): from development to external validation. BMJ. 2024;</w:t>
      </w:r>
      <w:proofErr w:type="gramStart"/>
      <w:r w:rsidRPr="004E3157">
        <w:rPr>
          <w:rFonts w:ascii="Book Antiqua" w:hAnsi="Book Antiqua"/>
          <w:sz w:val="20"/>
          <w:szCs w:val="20"/>
        </w:rPr>
        <w:t>384:e</w:t>
      </w:r>
      <w:proofErr w:type="gramEnd"/>
      <w:r w:rsidRPr="004E3157">
        <w:rPr>
          <w:rFonts w:ascii="Book Antiqua" w:hAnsi="Book Antiqua"/>
          <w:sz w:val="20"/>
          <w:szCs w:val="20"/>
        </w:rPr>
        <w:t>074819. doi:10.1136/bmj-2023-074819</w:t>
      </w:r>
    </w:p>
    <w:p w14:paraId="5E66AE6C" w14:textId="77777777" w:rsidR="008443E5" w:rsidRPr="004E3157" w:rsidRDefault="00000000">
      <w:pPr>
        <w:spacing w:after="120"/>
        <w:ind w:left="431" w:hanging="431"/>
        <w:rPr>
          <w:rFonts w:ascii="Book Antiqua" w:hAnsi="Book Antiqua"/>
          <w:sz w:val="20"/>
          <w:szCs w:val="20"/>
        </w:rPr>
      </w:pPr>
      <w:r w:rsidRPr="004E3157">
        <w:rPr>
          <w:rFonts w:ascii="Book Antiqua" w:hAnsi="Book Antiqua"/>
          <w:sz w:val="20"/>
          <w:szCs w:val="20"/>
        </w:rPr>
        <w:t>10. Moons KGM, Damen JAA, Kaul T, et al. PROBAST+AI: an updated quality, risk of bias, and applicability assessment tool for prediction models using regression or artificial intelligence methods. BMJ. 2025;</w:t>
      </w:r>
      <w:proofErr w:type="gramStart"/>
      <w:r w:rsidRPr="004E3157">
        <w:rPr>
          <w:rFonts w:ascii="Book Antiqua" w:hAnsi="Book Antiqua"/>
          <w:sz w:val="20"/>
          <w:szCs w:val="20"/>
        </w:rPr>
        <w:t>388:e</w:t>
      </w:r>
      <w:proofErr w:type="gramEnd"/>
      <w:r w:rsidRPr="004E3157">
        <w:rPr>
          <w:rFonts w:ascii="Book Antiqua" w:hAnsi="Book Antiqua"/>
          <w:sz w:val="20"/>
          <w:szCs w:val="20"/>
        </w:rPr>
        <w:t>082505. doi:10.1136/bmj-2024-082505</w:t>
      </w:r>
    </w:p>
    <w:p w14:paraId="5E66AE83" w14:textId="549E70A7" w:rsidR="008443E5" w:rsidRPr="004E3157" w:rsidRDefault="003319C8" w:rsidP="003319C8">
      <w:pPr>
        <w:spacing w:after="120"/>
        <w:ind w:left="431" w:hanging="431"/>
        <w:rPr>
          <w:rFonts w:ascii="Book Antiqua" w:hAnsi="Book Antiqua"/>
        </w:rPr>
      </w:pPr>
      <w:r w:rsidRPr="004E3157">
        <w:rPr>
          <w:rFonts w:ascii="Book Antiqua" w:hAnsi="Book Antiqua"/>
        </w:rPr>
        <w:t xml:space="preserve">11. </w:t>
      </w:r>
      <w:r w:rsidRPr="004E3157">
        <w:rPr>
          <w:rFonts w:ascii="Book Antiqua" w:hAnsi="Book Antiqua"/>
        </w:rPr>
        <w:t xml:space="preserve">Reyna M, Josef C, Jeter R, Shashikumar S, Moody B, Westover M B, Sharma A, Nemati S, Clifford G D. Early Prediction of Sepsis from Clinical Data: The PhysioNet/Computing in Cardiology Challenge 2019 (version 1.0.0). PhysioNet. 2019. RRID:SCR_007345. Available from: </w:t>
      </w:r>
      <w:hyperlink r:id="rId9" w:history="1">
        <w:r w:rsidRPr="004E3157">
          <w:rPr>
            <w:rStyle w:val="Hyperlink"/>
            <w:rFonts w:ascii="Book Antiqua" w:hAnsi="Book Antiqua"/>
          </w:rPr>
          <w:t>https://doi.org/10.13026/v64v-d857</w:t>
        </w:r>
      </w:hyperlink>
    </w:p>
    <w:sectPr w:rsidR="008443E5" w:rsidRPr="004E315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FE850" w14:textId="77777777" w:rsidR="000E4BBD" w:rsidRDefault="000E4BBD" w:rsidP="003319C8">
      <w:r>
        <w:separator/>
      </w:r>
    </w:p>
  </w:endnote>
  <w:endnote w:type="continuationSeparator" w:id="0">
    <w:p w14:paraId="71BF9AF6" w14:textId="77777777" w:rsidR="000E4BBD" w:rsidRDefault="000E4BBD" w:rsidP="00331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5678F" w14:textId="77777777" w:rsidR="000E4BBD" w:rsidRDefault="000E4BBD" w:rsidP="003319C8">
      <w:r>
        <w:separator/>
      </w:r>
    </w:p>
  </w:footnote>
  <w:footnote w:type="continuationSeparator" w:id="0">
    <w:p w14:paraId="4EDD6C0C" w14:textId="77777777" w:rsidR="000E4BBD" w:rsidRDefault="000E4BBD" w:rsidP="003319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A0DA4"/>
    <w:multiLevelType w:val="hybridMultilevel"/>
    <w:tmpl w:val="FC10BE00"/>
    <w:lvl w:ilvl="0" w:tplc="9496A69A">
      <w:start w:val="1"/>
      <w:numFmt w:val="bullet"/>
      <w:lvlText w:val="●"/>
      <w:lvlJc w:val="left"/>
      <w:pPr>
        <w:ind w:left="720" w:hanging="360"/>
      </w:pPr>
    </w:lvl>
    <w:lvl w:ilvl="1" w:tplc="DA64E2F4">
      <w:start w:val="1"/>
      <w:numFmt w:val="bullet"/>
      <w:lvlText w:val="○"/>
      <w:lvlJc w:val="left"/>
      <w:pPr>
        <w:ind w:left="1440" w:hanging="360"/>
      </w:pPr>
    </w:lvl>
    <w:lvl w:ilvl="2" w:tplc="4968A846">
      <w:start w:val="1"/>
      <w:numFmt w:val="bullet"/>
      <w:lvlText w:val="■"/>
      <w:lvlJc w:val="left"/>
      <w:pPr>
        <w:ind w:left="2160" w:hanging="360"/>
      </w:pPr>
    </w:lvl>
    <w:lvl w:ilvl="3" w:tplc="075251CC">
      <w:start w:val="1"/>
      <w:numFmt w:val="bullet"/>
      <w:lvlText w:val="●"/>
      <w:lvlJc w:val="left"/>
      <w:pPr>
        <w:ind w:left="2880" w:hanging="360"/>
      </w:pPr>
    </w:lvl>
    <w:lvl w:ilvl="4" w:tplc="6FAEE26E">
      <w:start w:val="1"/>
      <w:numFmt w:val="bullet"/>
      <w:lvlText w:val="○"/>
      <w:lvlJc w:val="left"/>
      <w:pPr>
        <w:ind w:left="3600" w:hanging="360"/>
      </w:pPr>
    </w:lvl>
    <w:lvl w:ilvl="5" w:tplc="1D8011E2">
      <w:start w:val="1"/>
      <w:numFmt w:val="bullet"/>
      <w:lvlText w:val="■"/>
      <w:lvlJc w:val="left"/>
      <w:pPr>
        <w:ind w:left="4320" w:hanging="360"/>
      </w:pPr>
    </w:lvl>
    <w:lvl w:ilvl="6" w:tplc="4C7CA756">
      <w:start w:val="1"/>
      <w:numFmt w:val="bullet"/>
      <w:lvlText w:val="●"/>
      <w:lvlJc w:val="left"/>
      <w:pPr>
        <w:ind w:left="5040" w:hanging="360"/>
      </w:pPr>
    </w:lvl>
    <w:lvl w:ilvl="7" w:tplc="3416B84C">
      <w:start w:val="1"/>
      <w:numFmt w:val="bullet"/>
      <w:lvlText w:val="●"/>
      <w:lvlJc w:val="left"/>
      <w:pPr>
        <w:ind w:left="5760" w:hanging="360"/>
      </w:pPr>
    </w:lvl>
    <w:lvl w:ilvl="8" w:tplc="CFE2996A">
      <w:start w:val="1"/>
      <w:numFmt w:val="bullet"/>
      <w:lvlText w:val="●"/>
      <w:lvlJc w:val="left"/>
      <w:pPr>
        <w:ind w:left="6480" w:hanging="360"/>
      </w:pPr>
    </w:lvl>
  </w:abstractNum>
  <w:num w:numId="1" w16cid:durableId="7862355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3E5"/>
    <w:rsid w:val="00063B17"/>
    <w:rsid w:val="000C5E02"/>
    <w:rsid w:val="000E4BBD"/>
    <w:rsid w:val="00257E65"/>
    <w:rsid w:val="00262491"/>
    <w:rsid w:val="002700A7"/>
    <w:rsid w:val="00316726"/>
    <w:rsid w:val="003319C8"/>
    <w:rsid w:val="00385490"/>
    <w:rsid w:val="003A71CA"/>
    <w:rsid w:val="003B261A"/>
    <w:rsid w:val="003F4045"/>
    <w:rsid w:val="0043023C"/>
    <w:rsid w:val="00440F6F"/>
    <w:rsid w:val="00494194"/>
    <w:rsid w:val="00494E8B"/>
    <w:rsid w:val="004C145F"/>
    <w:rsid w:val="004E3157"/>
    <w:rsid w:val="005264BA"/>
    <w:rsid w:val="005C49E7"/>
    <w:rsid w:val="00690F4A"/>
    <w:rsid w:val="006B5058"/>
    <w:rsid w:val="00724D32"/>
    <w:rsid w:val="008443E5"/>
    <w:rsid w:val="00917531"/>
    <w:rsid w:val="00944D7D"/>
    <w:rsid w:val="00950610"/>
    <w:rsid w:val="009925B5"/>
    <w:rsid w:val="00B43FD8"/>
    <w:rsid w:val="00C31CB4"/>
    <w:rsid w:val="00EB60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6AE57"/>
  <w15:docId w15:val="{73BAF786-7BD6-4B05-A1D2-51F8B2042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4"/>
      <w:szCs w:val="24"/>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85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opiyod@mail.gvsu.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3026/v64v-d8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6FC41-D278-459E-A941-8F3BB2606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1048</Words>
  <Characters>5974</Characters>
  <Application>Microsoft Office Word</Application>
  <DocSecurity>0</DocSecurity>
  <Lines>49</Lines>
  <Paragraphs>14</Paragraphs>
  <ScaleCrop>false</ScaleCrop>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Diana A. Opiyo</cp:lastModifiedBy>
  <cp:revision>29</cp:revision>
  <dcterms:created xsi:type="dcterms:W3CDTF">2026-08-13T16:11:00Z</dcterms:created>
  <dcterms:modified xsi:type="dcterms:W3CDTF">2026-08-13T16:51:00Z</dcterms:modified>
</cp:coreProperties>
</file>