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4"/>
              </w:rPr>
              <w:t>Форма по КНД 1175018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Приложение № 4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к приказу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19.09.2023 № ЕД-7-11/649@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(в ред. Приказа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09.01.2024 № ЕД-7-11/1@)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 w:cs="Arial" w:eastAsia="Arial"/>
          <w:b/>
          <w:i w:val="0"/>
          <w:sz w:val="24"/>
        </w:rPr>
        <w:t>СПРАВКА О ДОХОДАХ И СУММАХ НАЛОГА ФИЗИЧЕСКОГО ЛИЦА</w:t>
      </w:r>
    </w:p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за {{ ndfl_2.year }} год от {{ ndfl_2.issue_date_str }}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sz w:val="18"/>
        </w:rPr>
        <w:t>1. Сведения о налоговом агенте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665"/>
        <w:gridCol w:w="2665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по ОКТМО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Телефон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ИНН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КПП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company.oktmo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company.phone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company.tax_id_primary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company.tax_id_secondary }}</w:t>
            </w:r>
          </w:p>
        </w:tc>
      </w:tr>
    </w:tbl>
    <w:p>
      <w:pPr>
        <w:spacing w:before="80"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Налоговый агент: </w:t>
      </w:r>
      <w:r>
        <w:rPr>
          <w:rFonts w:ascii="Arial" w:hAnsi="Arial" w:cs="Arial" w:eastAsia="Arial"/>
          <w:b w:val="0"/>
          <w:i w:val="0"/>
          <w:sz w:val="18"/>
        </w:rPr>
        <w:t>{{ company.full_name_ru }}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sz w:val="14"/>
        </w:rPr>
        <w:t>Форма реорганизации (ликвидации) (код): ____    ИНН/КПП реорганизованной организации: ____________ / ____________</w:t>
      </w:r>
    </w:p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2. Сведения о физическом лице — получателе дохода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ИНН в Российской Федерации: </w:t>
      </w:r>
      <w:r>
        <w:rPr>
          <w:rFonts w:ascii="Arial" w:hAnsi="Arial" w:cs="Arial" w:eastAsia="Arial"/>
          <w:b w:val="0"/>
          <w:i w:val="0"/>
          <w:sz w:val="18"/>
        </w:rPr>
        <w:t>{{ applicant.inn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Фамилия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Имя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Отчество*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applicant.last_name_native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applicant.first_name_native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applicant.middle_name_native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Статус налогоплательщика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рождения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Гражданство (код страны)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ndfl_2.taxpayer_status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ndfl_2.birth_date_str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ndfl_2.country_code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документа, удостоверяющего личность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Серия и номер документа</w:t>
            </w:r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ndfl_2.id_doc_code }}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ndfl_2.passport_series_number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3. Доходы, облагаемые по ставке 13 %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624"/>
        <w:gridCol w:w="1871"/>
        <w:gridCol w:w="624"/>
        <w:gridCol w:w="1644"/>
        <w:gridCol w:w="227"/>
        <w:gridCol w:w="510"/>
        <w:gridCol w:w="624"/>
        <w:gridCol w:w="1871"/>
        <w:gridCol w:w="624"/>
        <w:gridCol w:w="1644"/>
      </w:tblGrid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Месяц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дохода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Месяц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дохода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ndfl_2.rows[0].deduction_amount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ndfl_2.rows[14].deduction_amount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ndfl_2.rows[15].deduction_amount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ndfl_2.rows[16].deduction_amount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ndfl_2.rows[3].deduction_amount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ndfl_2.rows[17].deduction_amount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ndfl_2.rows[4].deduction_amount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ndfl_2.rows[18].deduction_amount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ndfl_2.rows[5].deduction_amount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ndfl_2.rows[19].deduction_amount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ndfl_2.rows[6].deduction_amount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ndfl_2.rows[20].deduction_amount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ndfl_2.rows[7].deduction_amount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ndfl_2.rows[21].deduction_amount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ndfl_2.rows[8].deduction_amount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ndfl_2.rows[22].deduction_amount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ndfl_2.rows[9].deduction_amount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ndfl_2.rows[23].deduction_amount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ndfl_2.rows[10].deduction_amount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ndfl_2.rows[24].deduction_amount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ndfl_2.rows[11].deduction_amount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ndfl_2.rows[25].deduction_amount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ndfl_2.rows[12].deduction_amount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ndfl_2.rows[26].deduction_amount }}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ndfl_2.rows[13].deduction_amount }}</w:t>
            </w:r>
          </w:p>
        </w:tc>
        <w:tc>
          <w:tcPr>
            <w:tcW w:type="dxa" w:w="227"/>
            <w:vAlign w:val="center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51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ndfl_2.rows[27].month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ndfl_2.rows[27].income_code }}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ndfl_2.rows[27].income_amount }}</w:t>
            </w:r>
          </w:p>
        </w:tc>
        <w:tc>
          <w:tcPr>
            <w:tcW w:type="dxa" w:w="62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ndfl_2.rows[27].deduction_code }}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ndfl_2.rows[27].deduction_amount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4. Стандартные, социальные и имущественные налоговые вычеты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5. Общая сумма дохода и сумма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3118"/>
        <w:gridCol w:w="2268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Общая сумма дохода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ndfl_2.total_income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Налоговая база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ndfl_2.tax_base }}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исчисленная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ndfl_2.tax_calculated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фиксированных авансовых платежей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на прибыль организаций, подлежащая зачету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исчисленная и уплаченная в иностранном государстве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удержанная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ndfl_2.tax_withheld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излишне удержанная налоговым агентом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6. Сумма дохода, с которого не удержан налог налоговым агентом, и сумма неудержанного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402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дохода, с которого не удержан налог налоговым агентом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неудержанного налога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24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company.director_full_name_ru }}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_______________________  (подпись)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Налоговый агент (Ф. И. О.)*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before="200" w:after="0"/>
      </w:pPr>
      <w:r>
        <w:rPr>
          <w:rFonts w:ascii="Arial" w:hAnsi="Arial" w:cs="Arial" w:eastAsia="Arial"/>
          <w:b w:val="0"/>
          <w:i/>
          <w:sz w:val="14"/>
        </w:rPr>
        <w:t>*Отчество указывается при наличии.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