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Обновлённая архитектура сервиса</w:t>
        <w:br/>
        <w:t>для анализа Jira и квартального планирования</w:t>
      </w:r>
    </w:p>
    <w:p>
      <w:pPr>
        <w:jc w:val="center"/>
      </w:pPr>
      <w:r>
        <w:rPr>
          <w:i/>
          <w:sz w:val="22"/>
        </w:rPr>
        <w:t>Вариант MVP на SQLite с сохранением совместимости для будущей миграции на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81"/>
            <w:vAlign w:val="center"/>
            <w:shd w:fill="D9EAF7"/>
          </w:tcPr>
          <w:p>
            <w:r>
              <w:rPr>
                <w:sz w:val="20"/>
              </w:rPr>
              <w:t>Решение для MVP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20"/>
              </w:rPr>
              <w:t>Python + FastAPI + SQLite + SQLAlchemy + Alembic + React/TypeScript</w:t>
            </w:r>
          </w:p>
        </w:tc>
      </w:tr>
      <w:tr>
        <w:tc>
          <w:tcPr>
            <w:tcW w:type="dxa" w:w="2381"/>
            <w:vAlign w:val="center"/>
            <w:shd w:fill="D9EAF7"/>
          </w:tcPr>
          <w:p>
            <w:r>
              <w:rPr>
                <w:sz w:val="20"/>
              </w:rPr>
              <w:t>Принцип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20"/>
              </w:rPr>
              <w:t>Максимально простой локальный запуск сейчас, без архитектурного тупика при переходе на PostgreSQL позже</w:t>
            </w:r>
          </w:p>
        </w:tc>
      </w:tr>
    </w:tbl>
    <w:p>
      <w:pPr>
        <w:pStyle w:val="SmallNote"/>
      </w:pPr>
      <w:r>
        <w:t>Назначение документа: обновить ранее предложенную архитектуру под SQLite-MVP, упростить первый релиз и отдельно показать, что нужно оставить совместимым для последующей миграции на PostgreSQL.</w:t>
      </w:r>
    </w:p>
    <w:p>
      <w:pPr>
        <w:pStyle w:val="Heading1"/>
      </w:pPr>
      <w:r>
        <w:t>1. Ключевое решение</w:t>
      </w:r>
    </w:p>
    <w:p>
      <w:pPr>
        <w:ind w:left="227" w:hanging="227"/>
      </w:pPr>
      <w:r>
        <w:rPr>
          <w:b/>
        </w:rPr>
        <w:t xml:space="preserve">• </w:t>
      </w:r>
      <w:r>
        <w:t>Для локального MVP под одного руководителя SQLite является допустимой и рациональной БД: она убирает необходимость поднимать отдельный сервер PostgreSQL, ускоряет старт разработки и упрощает резервное копирование.</w:t>
      </w:r>
    </w:p>
    <w:p>
      <w:pPr>
        <w:ind w:left="227" w:hanging="227"/>
      </w:pPr>
      <w:r>
        <w:rPr>
          <w:b/>
        </w:rPr>
        <w:t xml:space="preserve">• </w:t>
      </w:r>
      <w:r>
        <w:t>Целевая архитектура при этом остаётся сервисной: база данных должна быть скрыта за репозиториями и ORM, а все SQL-зависимости — изолированы. Это позволит перейти на PostgreSQL без переделки основной бизнес-логики.</w:t>
      </w:r>
    </w:p>
    <w:p>
      <w:pPr>
        <w:ind w:left="227" w:hanging="227"/>
      </w:pPr>
      <w:r>
        <w:rPr>
          <w:b/>
        </w:rPr>
        <w:t xml:space="preserve">• </w:t>
      </w:r>
      <w:r>
        <w:t>На первом этапе не требуется Redis, очереди сообщений, ролевая модель и многопользовательский режим. Эти элементы должны быть исключены из MVP, но предусмотрены в целевой схеме расширения.</w:t>
      </w:r>
    </w:p>
    <w:p>
      <w:pPr>
        <w:pStyle w:val="Heading1"/>
      </w:pPr>
      <w:r>
        <w:t>2. Обновлённый технологический стек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Слой</w:t>
            </w:r>
          </w:p>
        </w:tc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Решение для MVP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Зачем сейчас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заменить позже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Python + FastAPI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API, расчёты, интеграция с Jira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Остаётся без изменений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База данных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Простой локальный запуск и один файл БД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Изоляция SQL и подготовка к миграции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Остаётся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Миграции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Контроль схемы БД и версий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Остаётся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React + TypeScript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Интерактивные фильтры и инфографика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Остаётся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Фоновые задачи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Внутрипроцессный scheduler или cron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Достаточно для одного пользователя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Celery/RQ + Redis при росте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Экспорты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python-pptx / openpyxl / PDF-рендер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Выгрузки для руководителя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Остаётся с доработкой</w:t>
            </w:r>
          </w:p>
        </w:tc>
      </w:tr>
    </w:tbl>
    <w:p>
      <w:pPr>
        <w:pStyle w:val="SmallNote"/>
      </w:pPr>
      <w:r>
        <w:t>Архитектурный принцип: ни один модуль прикладной логики не должен зависеть от SQLite-специфичных особенностей.</w:t>
      </w:r>
    </w:p>
    <w:p>
      <w:pPr>
        <w:pStyle w:val="Heading1"/>
      </w:pPr>
      <w:r>
        <w:t>3. Упрощённая C4-архитектура для SQLite-MVP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14"/>
            <w:shd w:fill="D9EAF7"/>
          </w:tcPr>
          <w:p>
            <w:pPr>
              <w:jc w:val="center"/>
            </w:pPr>
            <w:r>
              <w:rPr>
                <w:b/>
              </w:rPr>
              <w:t>Уровень</w:t>
            </w:r>
          </w:p>
        </w:tc>
        <w:tc>
          <w:tcPr>
            <w:tcW w:type="dxa" w:w="2948"/>
            <w:shd w:fill="D9EAF7"/>
          </w:tcPr>
          <w:p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type="dxa" w:w="4309"/>
            <w:shd w:fill="D9EAF7"/>
          </w:tcPr>
          <w:p>
            <w:pPr>
              <w:jc w:val="center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Локальный пользователь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Руководитель проектов открывает веб-интерфейс локального сервиса в браузере.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Локальный веб-сервис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FastAPI-приложение обрабатывает запросы интерфейса, синхронизирует Jira и формирует отчёты.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Jira Cloud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Внешний источник проектных данных: задачи, эпики, ворклоги, комментарии, пользователи.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Файловые экспорты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PDF, Excel, PowerPoint создаются на стороне сервиса и сохраняются локально.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Connector Layer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Изолирует работу с REST API Jira Cloud и политику инкрементальной синхронизации.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Service Layer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Бизнес-логика аналитики, planning, мэппинг категорий, расчёт KPI.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Repository Layer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Абстракция доступа к данным через ORM, независимая от конкретной СУБД.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948"/>
          </w:tcPr>
          <w:p>
            <w:r>
              <w:rPr>
                <w:sz w:val="18"/>
              </w:rPr>
              <w:t>SQLite DB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Хранение нормализованных сущностей, настроек мэппинга, снимков отчётов и плановых сценариев.</w:t>
            </w:r>
          </w:p>
        </w:tc>
      </w:tr>
      <w:tr>
        <w:tc>
          <w:tcPr>
            <w:tcW w:type="dxa" w:w="3457"/>
          </w:tcPr>
          <w:p>
            <w:r>
              <w:t>C3</w:t>
            </w:r>
          </w:p>
        </w:tc>
        <w:tc>
          <w:tcPr>
            <w:tcW w:type="dxa" w:w="3457"/>
          </w:tcPr>
          <w:p>
            <w:r>
              <w:t>Модуль конфигурации области выгрузки</w:t>
            </w:r>
          </w:p>
        </w:tc>
        <w:tc>
          <w:tcPr>
            <w:tcW w:type="dxa" w:w="3457"/>
          </w:tcPr>
          <w:p>
            <w:r>
              <w:t>Хранит список разрешённых проектов, корневых эпиков/задач по категориям и правила точечных переопределений.</w:t>
            </w:r>
          </w:p>
        </w:tc>
      </w:tr>
    </w:tbl>
    <w:p>
      <w:pPr>
        <w:pStyle w:val="Heading1"/>
      </w:pPr>
      <w:r>
        <w:t>4. Основные модули приложения</w:t>
      </w:r>
    </w:p>
    <w:p>
      <w:pPr>
        <w:ind w:left="227" w:hanging="227"/>
      </w:pPr>
      <w:r>
        <w:t>• Интеграция с Jira Cloud: загрузка только тех проектов, эпиков, задач и ворклогов, которые попадают в заранее настроенную область выгрузки.</w:t>
      </w:r>
    </w:p>
    <w:p>
      <w:pPr>
        <w:ind w:left="227" w:hanging="227"/>
      </w:pPr>
      <w:r>
        <w:t>• Нормализация и мэппинг: обязательная ручная привязка проектов и корневых эпиков/задач к управленческим категориям работ с автоматической раскладкой дочерних задач.</w:t>
      </w:r>
    </w:p>
    <w:p>
      <w:pPr>
        <w:ind w:left="227" w:hanging="227"/>
      </w:pPr>
      <w:r>
        <w:rPr>
          <w:b/>
        </w:rPr>
        <w:t xml:space="preserve">• </w:t>
      </w:r>
      <w:r>
        <w:t>Аналитика факта: расчёт трудозатрат по людям, проектам, категориям работ, периодам и контекстным переключениям.</w:t>
      </w:r>
    </w:p>
    <w:p>
      <w:pPr>
        <w:ind w:left="227" w:hanging="227"/>
      </w:pPr>
      <w:r>
        <w:rPr>
          <w:b/>
        </w:rPr>
        <w:t xml:space="preserve">• </w:t>
      </w:r>
      <w:r>
        <w:t>Планирование квартала: расчёт доступной ёмкости по производственному календарю РФ, отпускам и обязательным процентным вычетам.</w:t>
      </w:r>
    </w:p>
    <w:p>
      <w:pPr>
        <w:ind w:left="227" w:hanging="227"/>
      </w:pPr>
      <w:r>
        <w:rPr>
          <w:b/>
        </w:rPr>
        <w:t xml:space="preserve">• </w:t>
      </w:r>
      <w:r>
        <w:t>Отчётность: подготовка экранных дашбордов и экспортов в PDF, Excel и PowerPoint.</w:t>
      </w:r>
    </w:p>
    <w:p>
      <w:pPr>
        <w:pStyle w:val="Heading1"/>
      </w:pPr>
      <w:r>
        <w:t>4.1. Обязательная конфигурация области выгрузки и автo-раскладки</w:t>
      </w:r>
    </w:p>
    <w:p>
      <w:pPr/>
      <w:r>
        <w:t>В MVP область загрузки из Jira должна быть ограничена вручную. Сервис не должен выполнять широкую выгрузку по всем доступным проектам и задачам Jira Cloud.</w:t>
      </w:r>
    </w:p>
    <w:p>
      <w:pPr/>
      <w:r>
        <w:t>Перед первой синхронизацией пользователь обязан задать два уровня соответствий: (1) список допустимых проектов Jira, из которых можно забирать данные; (2) список корневых эпиков или задач по каждой управленческой категории. Все дочерние элементы внутри такой иерархии автоматически относятся к выбранной категории, если для них не задано более точное переопределение.</w:t>
      </w:r>
    </w:p>
    <w:p>
      <w:pPr/>
      <w:r>
        <w:t>Такая схема решает сразу две задачи: сокращает объём лишних данных и делает категоризацию прозрачной, объяснимой и управляемой.</w:t>
      </w:r>
    </w:p>
    <w:p>
      <w:pPr/>
      <w:r>
        <w:t>Категории, для которых настройка корневых эпиков/задач является обязательной: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</w:tcPr>
          <w:p>
            <w:r>
              <w:t>Категория</w:t>
            </w:r>
          </w:p>
        </w:tc>
        <w:tc>
          <w:tcPr>
            <w:tcW w:type="dxa" w:w="3457"/>
          </w:tcPr>
          <w:p>
            <w:r>
              <w:t>Что задаёт пользователь</w:t>
            </w:r>
          </w:p>
        </w:tc>
        <w:tc>
          <w:tcPr>
            <w:tcW w:type="dxa" w:w="3457"/>
          </w:tcPr>
          <w:p>
            <w:r>
              <w:t>Правило автo-раскладки</w:t>
            </w:r>
          </w:p>
        </w:tc>
      </w:tr>
      <w:tr>
        <w:tc>
          <w:tcPr>
            <w:tcW w:type="dxa" w:w="3457"/>
          </w:tcPr>
          <w:p>
            <w:r>
              <w:t>Сопровождение и консультация</w:t>
            </w:r>
          </w:p>
        </w:tc>
        <w:tc>
          <w:tcPr>
            <w:tcW w:type="dxa" w:w="3457"/>
          </w:tcPr>
          <w:p>
            <w:r>
              <w:t>Ключи/ссылки корневых эпиков или задач сопровождения и консультаций</w:t>
            </w:r>
          </w:p>
        </w:tc>
        <w:tc>
          <w:tcPr>
            <w:tcW w:type="dxa" w:w="3457"/>
          </w:tcPr>
          <w:p>
            <w:r>
              <w:t>Все дочерние задачи и их worklog по умолчанию попадают в эту категорию</w:t>
            </w:r>
          </w:p>
        </w:tc>
      </w:tr>
      <w:tr>
        <w:tc>
          <w:tcPr>
            <w:tcW w:type="dxa" w:w="3457"/>
          </w:tcPr>
          <w:p>
            <w:r>
              <w:t>Анализ/развитие бизнес-процессов</w:t>
            </w:r>
          </w:p>
        </w:tc>
        <w:tc>
          <w:tcPr>
            <w:tcW w:type="dxa" w:w="3457"/>
          </w:tcPr>
          <w:p>
            <w:r>
              <w:t>Корневые эпики/задачи развития, анализа и проектных инициатив</w:t>
            </w:r>
          </w:p>
        </w:tc>
        <w:tc>
          <w:tcPr>
            <w:tcW w:type="dxa" w:w="3457"/>
          </w:tcPr>
          <w:p>
            <w:r>
              <w:t>Наследование категории вниз по иерархии до явного переопределения</w:t>
            </w:r>
          </w:p>
        </w:tc>
      </w:tr>
      <w:tr>
        <w:tc>
          <w:tcPr>
            <w:tcW w:type="dxa" w:w="3457"/>
          </w:tcPr>
          <w:p>
            <w:r>
              <w:t>Встречи вне развития и консультации</w:t>
            </w:r>
          </w:p>
        </w:tc>
        <w:tc>
          <w:tcPr>
            <w:tcW w:type="dxa" w:w="3457"/>
          </w:tcPr>
          <w:p>
            <w:r>
              <w:t>Корневые элементы для встреч, комитетов, синков и прочих событий</w:t>
            </w:r>
          </w:p>
        </w:tc>
        <w:tc>
          <w:tcPr>
            <w:tcW w:type="dxa" w:w="3457"/>
          </w:tcPr>
          <w:p>
            <w:r>
              <w:t>Worklog в дочерних задачах относится к встречам</w:t>
            </w:r>
          </w:p>
        </w:tc>
      </w:tr>
      <w:tr>
        <w:tc>
          <w:tcPr>
            <w:tcW w:type="dxa" w:w="3457"/>
          </w:tcPr>
          <w:p>
            <w:r>
              <w:t>Административные потери</w:t>
            </w:r>
          </w:p>
        </w:tc>
        <w:tc>
          <w:tcPr>
            <w:tcW w:type="dxa" w:w="3457"/>
          </w:tcPr>
          <w:p>
            <w:r>
              <w:t>Корневые элементы для административной деятельности</w:t>
            </w:r>
          </w:p>
        </w:tc>
        <w:tc>
          <w:tcPr>
            <w:tcW w:type="dxa" w:w="3457"/>
          </w:tcPr>
          <w:p>
            <w:r>
              <w:t>Все дочерние worklog агрегируются как административные потери</w:t>
            </w:r>
          </w:p>
        </w:tc>
      </w:tr>
      <w:tr>
        <w:tc>
          <w:tcPr>
            <w:tcW w:type="dxa" w:w="3457"/>
          </w:tcPr>
          <w:p>
            <w:r>
              <w:t>Внутренние коммуникации</w:t>
            </w:r>
          </w:p>
        </w:tc>
        <w:tc>
          <w:tcPr>
            <w:tcW w:type="dxa" w:w="3457"/>
          </w:tcPr>
          <w:p>
            <w:r>
              <w:t>Корневые элементы для внутренних обсуждений и координации</w:t>
            </w:r>
          </w:p>
        </w:tc>
        <w:tc>
          <w:tcPr>
            <w:tcW w:type="dxa" w:w="3457"/>
          </w:tcPr>
          <w:p>
            <w:r>
              <w:t>Иерархия задач автоматически попадает в категорию внутренних коммуникаций</w:t>
            </w:r>
          </w:p>
        </w:tc>
      </w:tr>
      <w:tr>
        <w:tc>
          <w:tcPr>
            <w:tcW w:type="dxa" w:w="3457"/>
          </w:tcPr>
          <w:p>
            <w:r>
              <w:t>Незаполненные / сомнительные worklog</w:t>
            </w:r>
          </w:p>
        </w:tc>
        <w:tc>
          <w:tcPr>
            <w:tcW w:type="dxa" w:w="3457"/>
          </w:tcPr>
          <w:p>
            <w:r>
              <w:t>Системная категория без корневых задач; пополнение по правилам качества данных</w:t>
            </w:r>
          </w:p>
        </w:tc>
        <w:tc>
          <w:tcPr>
            <w:tcW w:type="dxa" w:w="3457"/>
          </w:tcPr>
          <w:p>
            <w:r>
              <w:t>Сюда попадают worklog без описания, с подозрительно коротким текстом или без найденного соответствия</w:t>
            </w:r>
          </w:p>
        </w:tc>
      </w:tr>
      <w:tr>
        <w:tc>
          <w:tcPr>
            <w:tcW w:type="dxa" w:w="3457"/>
          </w:tcPr>
          <w:p>
            <w:r>
              <w:t>Технический долг / прочее</w:t>
            </w:r>
          </w:p>
        </w:tc>
        <w:tc>
          <w:tcPr>
            <w:tcW w:type="dxa" w:w="3457"/>
          </w:tcPr>
          <w:p>
            <w:r>
              <w:t>Корневые элементы для технического долга, служебных задач и прочих работ</w:t>
            </w:r>
          </w:p>
        </w:tc>
        <w:tc>
          <w:tcPr>
            <w:tcW w:type="dxa" w:w="3457"/>
          </w:tcPr>
          <w:p>
            <w:r>
              <w:t>Все дочерние задачи относятся к категории технического долга/прочего</w:t>
            </w:r>
          </w:p>
        </w:tc>
      </w:tr>
    </w:tbl>
    <w:p>
      <w:pPr/>
      <w:r>
        <w:t>Приоритет определения категории: явное переопределение задачи -&gt; ближайший настроенный корневой эпик/задача -&gt; системные правила качества данных -&gt; категория "незаполненные / сомнительные worklog".</w:t>
      </w:r>
    </w:p>
    <w:p>
      <w:pPr>
        <w:pStyle w:val="Heading1"/>
      </w:pPr>
      <w:r>
        <w:t>5. Границы MVP и что исключено из первого релиза</w:t>
      </w:r>
    </w:p>
    <w:p>
      <w:pPr>
        <w:ind w:left="227" w:hanging="227"/>
      </w:pPr>
      <w:r>
        <w:rPr>
          <w:b/>
        </w:rPr>
        <w:t xml:space="preserve">– </w:t>
      </w:r>
      <w:r>
        <w:t>Многопользовательский режим, RBAC и tenant isolation.</w:t>
      </w:r>
    </w:p>
    <w:p>
      <w:pPr>
        <w:ind w:left="227" w:hanging="227"/>
      </w:pPr>
      <w:r>
        <w:rPr>
          <w:b/>
        </w:rPr>
        <w:t xml:space="preserve">– </w:t>
      </w:r>
      <w:r>
        <w:t>Высоконагруженные фоновые очереди и распределённые воркеры.</w:t>
      </w:r>
    </w:p>
    <w:p>
      <w:pPr>
        <w:ind w:left="227" w:hanging="227"/>
      </w:pPr>
      <w:r>
        <w:rPr>
          <w:b/>
        </w:rPr>
        <w:t xml:space="preserve">– </w:t>
      </w:r>
      <w:r>
        <w:t>Подключение внешних HR-систем, 1С и календарных API.</w:t>
      </w:r>
    </w:p>
    <w:p>
      <w:pPr>
        <w:ind w:left="227" w:hanging="227"/>
      </w:pPr>
      <w:r>
        <w:rPr>
          <w:b/>
        </w:rPr>
        <w:t xml:space="preserve">– </w:t>
      </w:r>
      <w:r>
        <w:t>Автоматическая AI-классификация как обязательный механизм принятия решений.</w:t>
      </w:r>
    </w:p>
    <w:p>
      <w:pPr>
        <w:pStyle w:val="Heading1"/>
      </w:pPr>
      <w:r>
        <w:t>6. Принципы проектирования для будущей миграции на PostgreSQL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835"/>
            <w:shd w:fill="D9EAF7"/>
          </w:tcPr>
          <w:p>
            <w:r>
              <w:rPr>
                <w:b/>
              </w:rPr>
              <w:t>Принцип</w:t>
            </w:r>
          </w:p>
        </w:tc>
        <w:tc>
          <w:tcPr>
            <w:tcW w:type="dxa" w:w="6236"/>
            <w:shd w:fill="D9EAF7"/>
          </w:tcPr>
          <w:p>
            <w:r>
              <w:rPr>
                <w:b/>
              </w:rPr>
              <w:t>Практическая реализация в MVP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ORM как единственная точка доступа к БД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Все операции чтения и записи выполняются через SQLAlchemy-модели и repository layer.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Миграции обязательны даже для SQLite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Любые изменения схемы проходят через Alembic, без ручной правки файла БД.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Никакого vendor-specific SQL в сервисах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Избегать конструкций, завязанных только на SQLite; сложную аналитику считать на уровне Python и service layer.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UUID, внешние ключи и служебные timestamps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Сущности должны иметь стабильные идентификаторы и поля created_at, updated_at и synced_at.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Конфигурируемые источники и пути экспорта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Подготовка к будущему развёртыванию в серверной среде без переписывания настроек.</w:t>
            </w:r>
          </w:p>
        </w:tc>
      </w:tr>
    </w:tbl>
    <w:p>
      <w:pPr>
        <w:pStyle w:val="Heading1"/>
      </w:pPr>
      <w:r>
        <w:t>7. Схема данных для SQLite-MVP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Таблица</w:t>
            </w:r>
          </w:p>
        </w:tc>
        <w:tc>
          <w:tcPr>
            <w:tcW w:type="dxa" w:w="238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Ключевые поля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employees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Справочник сотрудников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display_name, email, is_active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Пока без ролей и FTE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projects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Справочник проектов Jira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jira_project_id, key, name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Нужен анализ по проектам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issues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Задачи и эпики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jira_issue_id, key, summary, issue_type, status, parent_id, project_id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Основа для связей и контекста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worklogs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Фактические трудозатраты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jira_worklog_id, issue_id, employee_id, started_at, hours, comment_text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Ключевая таблица факта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comments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Комментарии Jira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jira_comment_id, issue_id, author_id, body, created_at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Для вспомогательного анализа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category_mappings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Ручной мэппинг категорий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entity_type, entity_id, category, subcategory, source_rule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Связывает эпики, задачи и проекты с категориями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vacations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Ручной ввод отпусков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employee_id, start_date, end_date, hours_total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Источник вычета capacity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monthly_capacity_rules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Норматив обязательных работ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month, year, percent_of_norm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Процентный вычет от нормы часов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backlog_items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Квартальный backlog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title, project_id, quarter, estimate_hours, priority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Задача берётся в квартал целиком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planning_scenarios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Сценарии планирования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name, quarter, year, created_at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Хранение расчётов квартального набора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scenario_allocations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Результат сценария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scenario_id, backlog_item_id, planned_hours, included_flag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Что вошло в квартал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sync_state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Служебное состояние синхронизации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id, entity_name, last_success_at, cursor_value</w:t>
            </w:r>
          </w:p>
        </w:tc>
        <w:tc>
          <w:tcPr>
            <w:tcW w:type="dxa" w:w="1587"/>
          </w:tcPr>
          <w:p>
            <w:r>
              <w:rPr>
                <w:sz w:val="17"/>
              </w:rPr>
              <w:t>Для инкрементальной загрузки</w:t>
            </w:r>
          </w:p>
        </w:tc>
      </w:tr>
      <w:tr>
        <w:tc>
          <w:tcPr>
            <w:tcW w:type="dxa" w:w="2592"/>
          </w:tcPr>
          <w:p>
            <w:r>
              <w:t>scope_projects</w:t>
            </w:r>
          </w:p>
        </w:tc>
        <w:tc>
          <w:tcPr>
            <w:tcW w:type="dxa" w:w="2592"/>
          </w:tcPr>
          <w:p>
            <w:r>
              <w:t>Разрешённые проекты Jira для загрузки</w:t>
            </w:r>
          </w:p>
        </w:tc>
        <w:tc>
          <w:tcPr>
            <w:tcW w:type="dxa" w:w="2592"/>
          </w:tcPr>
          <w:p>
            <w:r>
              <w:t>id, jira_project_key, jira_project_id, is_enabled</w:t>
            </w:r>
          </w:p>
        </w:tc>
        <w:tc>
          <w:tcPr>
            <w:tcW w:type="dxa" w:w="2592"/>
          </w:tcPr>
          <w:p>
            <w:r>
              <w:t>Без включения проекта данные не загружаются</w:t>
            </w:r>
          </w:p>
        </w:tc>
      </w:tr>
      <w:tr>
        <w:tc>
          <w:tcPr>
            <w:tcW w:type="dxa" w:w="2592"/>
          </w:tcPr>
          <w:p>
            <w:r>
              <w:t>scope_roots</w:t>
            </w:r>
          </w:p>
        </w:tc>
        <w:tc>
          <w:tcPr>
            <w:tcW w:type="dxa" w:w="2592"/>
          </w:tcPr>
          <w:p>
            <w:r>
              <w:t>Корневые эпики/задачи для автo-раскладки</w:t>
            </w:r>
          </w:p>
        </w:tc>
        <w:tc>
          <w:tcPr>
            <w:tcW w:type="dxa" w:w="2592"/>
          </w:tcPr>
          <w:p>
            <w:r>
              <w:t>id, category_code, jira_issue_key, jira_issue_id, project_key, is_enabled</w:t>
            </w:r>
          </w:p>
        </w:tc>
        <w:tc>
          <w:tcPr>
            <w:tcW w:type="dxa" w:w="2592"/>
          </w:tcPr>
          <w:p>
            <w:r>
              <w:t>Поддерживает ключ или URL Jira</w:t>
            </w:r>
          </w:p>
        </w:tc>
      </w:tr>
      <w:tr>
        <w:tc>
          <w:tcPr>
            <w:tcW w:type="dxa" w:w="2592"/>
          </w:tcPr>
          <w:p>
            <w:r>
              <w:t>category_overrides</w:t>
            </w:r>
          </w:p>
        </w:tc>
        <w:tc>
          <w:tcPr>
            <w:tcW w:type="dxa" w:w="2592"/>
          </w:tcPr>
          <w:p>
            <w:r>
              <w:t>Точечные переопределения категории</w:t>
            </w:r>
          </w:p>
        </w:tc>
        <w:tc>
          <w:tcPr>
            <w:tcW w:type="dxa" w:w="2592"/>
          </w:tcPr>
          <w:p>
            <w:r>
              <w:t>id, jira_issue_key, category_code, comment</w:t>
            </w:r>
          </w:p>
        </w:tc>
        <w:tc>
          <w:tcPr>
            <w:tcW w:type="dxa" w:w="2592"/>
          </w:tcPr>
          <w:p>
            <w:r>
              <w:t>Нужно для исключений внутри иерархии</w:t>
            </w:r>
          </w:p>
        </w:tc>
      </w:tr>
      <w:tr>
        <w:tc>
          <w:tcPr>
            <w:tcW w:type="dxa" w:w="2592"/>
          </w:tcPr>
          <w:p>
            <w:r>
              <w:t>worklog_quality_rules</w:t>
            </w:r>
          </w:p>
        </w:tc>
        <w:tc>
          <w:tcPr>
            <w:tcW w:type="dxa" w:w="2592"/>
          </w:tcPr>
          <w:p>
            <w:r>
              <w:t>Правила выявления сомнительных worklog</w:t>
            </w:r>
          </w:p>
        </w:tc>
        <w:tc>
          <w:tcPr>
            <w:tcW w:type="dxa" w:w="2592"/>
          </w:tcPr>
          <w:p>
            <w:r>
              <w:t>id, rule_code, threshold_value, is_enabled</w:t>
            </w:r>
          </w:p>
        </w:tc>
        <w:tc>
          <w:tcPr>
            <w:tcW w:type="dxa" w:w="2592"/>
          </w:tcPr>
          <w:p>
            <w:r>
              <w:t>Используется для категории сомнительных записей</w:t>
            </w:r>
          </w:p>
        </w:tc>
      </w:tr>
    </w:tbl>
    <w:p>
      <w:pPr>
        <w:pStyle w:val="Heading1"/>
      </w:pPr>
      <w:r>
        <w:t>8. Потоки данных</w:t>
      </w:r>
    </w:p>
    <w:p>
      <w:pPr>
        <w:ind w:left="227" w:hanging="227"/>
      </w:pPr>
      <w:r>
        <w:t>• Пользователь сначала настраивает область выгрузки: выбирает допустимые проекты и указывает ключи или ссылки корневых эпиков/задач по категориям.</w:t>
      </w:r>
    </w:p>
    <w:p>
      <w:pPr>
        <w:ind w:left="227" w:hanging="227"/>
      </w:pPr>
      <w:r>
        <w:t>• Connector получает новые и изменённые задачи и ворклоги только внутри настроенной области выгрузки, используя пагинацию и безопасную обработку rate limiting.</w:t>
      </w:r>
    </w:p>
    <w:p>
      <w:pPr>
        <w:ind w:left="227" w:hanging="227"/>
      </w:pPr>
      <w:r>
        <w:rPr>
          <w:b/>
        </w:rPr>
        <w:t xml:space="preserve">• </w:t>
      </w:r>
      <w:r>
        <w:t>Данные нормализуются и записываются в SQLite через repository layer.</w:t>
      </w:r>
    </w:p>
    <w:p>
      <w:pPr>
        <w:ind w:left="227" w:hanging="227"/>
      </w:pPr>
      <w:r>
        <w:t>• Пользователь уточняет или меняет конфигурацию корневых эпиков/задач и правила раскладки по категориям, после чего сервис пересчитывает аналитические витрины.</w:t>
      </w:r>
    </w:p>
    <w:p>
      <w:pPr>
        <w:ind w:left="227" w:hanging="227"/>
      </w:pPr>
      <w:r>
        <w:rPr>
          <w:b/>
        </w:rPr>
        <w:t xml:space="preserve">• </w:t>
      </w:r>
      <w:r>
        <w:t>Сервис строит аналитические витрины по людям, проектам, категориям и контекстным переключениям.</w:t>
      </w:r>
    </w:p>
    <w:p>
      <w:pPr>
        <w:ind w:left="227" w:hanging="227"/>
      </w:pPr>
      <w:r>
        <w:rPr>
          <w:b/>
        </w:rPr>
        <w:t xml:space="preserve">• </w:t>
      </w:r>
      <w:r>
        <w:t>Модуль planning считает квартальную ёмкость по производственному календарю РФ, отпускам и процентным вычетам.</w:t>
      </w:r>
    </w:p>
    <w:p>
      <w:pPr>
        <w:ind w:left="227" w:hanging="227"/>
      </w:pPr>
      <w:r>
        <w:rPr>
          <w:b/>
        </w:rPr>
        <w:t xml:space="preserve">• </w:t>
      </w:r>
      <w:r>
        <w:t>Пользователь формирует квартальный сценарий и выгружает результаты в PDF, Excel или PowerPoint.</w:t>
      </w:r>
    </w:p>
    <w:p>
      <w:pPr>
        <w:pStyle w:val="Heading1"/>
      </w:pPr>
      <w:r>
        <w:t>9. Roadmap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20"/>
            <w:shd w:fill="D9EAF7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268"/>
            <w:shd w:fill="D9EAF7"/>
          </w:tcPr>
          <w:p>
            <w:r>
              <w:rPr>
                <w:b/>
              </w:rPr>
              <w:t>Результат</w:t>
            </w:r>
          </w:p>
        </w:tc>
        <w:tc>
          <w:tcPr>
            <w:tcW w:type="dxa" w:w="4649"/>
            <w:shd w:fill="D9EAF7"/>
          </w:tcPr>
          <w:p>
            <w:r>
              <w:rPr>
                <w:b/>
              </w:rPr>
              <w:t>Что входит</w:t>
            </w:r>
          </w:p>
        </w:tc>
        <w:tc>
          <w:tcPr>
            <w:tcW w:type="dxa" w:w="1134"/>
            <w:shd w:fill="D9EAF7"/>
          </w:tcPr>
          <w:p>
            <w:r>
              <w:rPr>
                <w:b/>
              </w:rPr>
              <w:t>Сложность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Технический каркас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FastAPI, SQLite, SQLAlchemy, Alembic, базовая структура проекта, конфигурация и логирование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Низкая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Загрузка Jira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Авторизация, синхронизация issues, worklogs, comments, users, sync_state, ручной запуск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Аналитика факта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Категории, мэппинг, отчёты по людям и проектам, контекстные переключения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Производственный календарь, отпуска, процент обязательных работ, квартальный отбор backlog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Экспорты и polish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PDF, Excel, PPTX, фильтры интерфейса, сохранение отчётов и сценариев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Средняя</w:t>
            </w:r>
          </w:p>
        </w:tc>
      </w:tr>
    </w:tbl>
    <w:p>
      <w:pPr>
        <w:pStyle w:val="Heading1"/>
      </w:pPr>
      <w:r>
        <w:t>10. Риски и ограничения SQLite-варианта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268"/>
            <w:shd w:fill="D9EAF7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4082"/>
            <w:shd w:fill="D9EAF7"/>
          </w:tcPr>
          <w:p>
            <w:r>
              <w:rPr>
                <w:b/>
              </w:rPr>
              <w:t>Проявление</w:t>
            </w:r>
          </w:p>
        </w:tc>
        <w:tc>
          <w:tcPr>
            <w:tcW w:type="dxa" w:w="2721"/>
            <w:shd w:fill="D9EAF7"/>
          </w:tcPr>
          <w:p>
            <w:r>
              <w:rPr>
                <w:b/>
              </w:rPr>
              <w:t>Снижение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Ограничения конкурентной записи SQLite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При одновременной синхронизации и активной работе в UI могут появляться блокировки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Для MVP минимизировать параллелизм и использовать короткие транзакции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Рост объёма аналитики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Сложные агрегаты на больших исторических объёмах будут замедляться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Хранить подготовленные витрины и предусмотреть миграцию на PostgreSQL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Слабая детализация worklog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Часть аналитики по потерям и встречам будет приблизительной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Использовать ручной мэппинг, словари и прозрачные правила категоризации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Экспорт в разные форматы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PDF, Excel и PPTX могут требовать разные шаблоны визуализации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Сначала зафиксировать единый набор KPI и общую компоновку отчёта</w:t>
            </w:r>
          </w:p>
        </w:tc>
      </w:tr>
    </w:tbl>
    <w:p>
      <w:pPr>
        <w:pStyle w:val="Heading1"/>
      </w:pPr>
      <w:r>
        <w:t>11. Итоговая рекомендация</w:t>
      </w:r>
    </w:p>
    <w:p>
      <w:pPr>
        <w:ind w:left="227" w:hanging="227"/>
      </w:pPr>
      <w:r>
        <w:rPr>
          <w:b/>
        </w:rPr>
        <w:t xml:space="preserve">• </w:t>
      </w:r>
      <w:r>
        <w:t>Для текущей цели — личный локальный инструмент руководителя проектов — SQLite является правильным компромиссом между простотой и полезностью.</w:t>
      </w:r>
    </w:p>
    <w:p>
      <w:pPr>
        <w:ind w:left="227" w:hanging="227"/>
      </w:pPr>
      <w:r>
        <w:rPr>
          <w:b/>
        </w:rPr>
        <w:t xml:space="preserve">• </w:t>
      </w:r>
      <w:r>
        <w:t>Чтобы не потерять возможность коммерциализации, уже в MVP нужно соблюдать дисциплину слоёв: connector -&gt; service -&gt; repository -&gt; database.</w:t>
      </w:r>
    </w:p>
    <w:p>
      <w:pPr>
        <w:ind w:left="227" w:hanging="227"/>
      </w:pPr>
      <w:r>
        <w:rPr>
          <w:b/>
        </w:rPr>
        <w:t xml:space="preserve">• </w:t>
      </w:r>
      <w:r>
        <w:t>Если сервис подтвердит ценность, следующая техническая веха — миграция базы данных на PostgreSQL и добавление многопользовательского режима.</w:t>
      </w:r>
    </w:p>
    <w:p>
      <w:pPr>
        <w:pStyle w:val="SmallNote"/>
        <w:jc w:val="right"/>
      </w:pPr>
      <w:r>
        <w:t>Версия документа: SQLite MVP / 09.04.2026</w:t>
      </w:r>
    </w:p>
    <w:p/>
    <w:p/>
    <w:p/>
    <w:p/>
    <w:p/>
    <w:p/>
    <w:sectPr w:rsidR="00FC693F" w:rsidRPr="0006063C" w:rsidSect="00034616">
      <w:pgSz w:w="12240" w:h="15840"/>
      <w:pgMar w:top="964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