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80"/>
        <w:jc w:val="center"/>
      </w:pPr>
      <w:r>
        <w:rPr>
          <w:rFonts w:ascii="맑은 고딕" w:hAnsi="맑은 고딕" w:eastAsia="맑은 고딕"/>
          <w:b/>
          <w:i w:val="0"/>
          <w:sz w:val="30"/>
        </w:rPr>
        <w:t>구글 스트리트뷰 간판 인식과 시각-언어 모델 교정을 이용한 오픈스트리트맵 건물 속성 자동 보완 기법</w:t>
      </w:r>
    </w:p>
    <w:p>
      <w:pPr>
        <w:spacing w:after="80"/>
        <w:jc w:val="center"/>
      </w:pPr>
      <w:r>
        <w:rPr>
          <w:rFonts w:ascii="맑은 고딕" w:hAnsi="맑은 고딕" w:eastAsia="맑은 고딕"/>
          <w:b w:val="0"/>
          <w:i/>
          <w:sz w:val="22"/>
        </w:rPr>
        <w:t>An Automatic Enrichment Method for OpenStreetMap Building Attributes Using Google Street View Signboard Recognition and Vision-Language Model Correction</w:t>
      </w:r>
    </w:p>
    <w:p>
      <w:pPr>
        <w:spacing w:after="200"/>
        <w:jc w:val="center"/>
      </w:pPr>
      <w:r>
        <w:rPr>
          <w:rFonts w:ascii="맑은 고딕" w:hAnsi="맑은 고딕" w:eastAsia="맑은 고딕"/>
          <w:b w:val="0"/>
          <w:i w:val="0"/>
          <w:sz w:val="20"/>
        </w:rPr>
        <w:t>저자명¹, 저자명², 저자명³ (작성 필요) · ¹²³ 소속 (작성 필요)</w:t>
      </w:r>
    </w:p>
    <w:p>
      <w:pPr>
        <w:spacing w:after="120"/>
      </w:pPr>
      <w:r>
        <w:rPr>
          <w:rFonts w:ascii="맑은 고딕" w:hAnsi="맑은 고딕" w:eastAsia="맑은 고딕"/>
          <w:b/>
          <w:i w:val="0"/>
          <w:sz w:val="24"/>
        </w:rPr>
        <w:t>요약</w:t>
      </w:r>
    </w:p>
    <w:p>
      <w:pPr>
        <w:spacing w:after="80"/>
      </w:pPr>
      <w:r>
        <w:rPr>
          <w:rFonts w:ascii="맑은 고딕" w:hAnsi="맑은 고딕" w:eastAsia="맑은 고딕"/>
          <w:b w:val="0"/>
          <w:i w:val="0"/>
          <w:sz w:val="21"/>
        </w:rPr>
        <w:t>본 연구는 OpenStreetMap(OSM)에서 누락된 건물 상호명과 업종을 구글 스트리트뷰 간판으로 자동 보완하는 모듈형 프레임워크를 제안하였다. 강남, 브루클린, 수원 이미지 298장에서 검출기 3종, OCR 3종, VLM 2종을 비교하였다. 간판 검출은 YOLO26x가 AP@0.5 0.860, 단어 박스 검출은 YOLO26x·YOLOv5x가 0.892·0.893이었다. OCR은 SVTRv2-B가 라인 정확도 75.5%였고 VLM 교정 후 두 파이프라인에서 83.4%·82.3%, 업종 태깅 정확도는 84.9%·85.5%였다.</w:t>
      </w:r>
    </w:p>
    <w:p>
      <w:pPr>
        <w:spacing w:after="200"/>
      </w:pPr>
      <w:r>
        <w:rPr>
          <w:rFonts w:ascii="맑은 고딕" w:hAnsi="맑은 고딕" w:eastAsia="맑은 고딕"/>
          <w:b w:val="0"/>
          <w:i w:val="0"/>
          <w:sz w:val="20"/>
        </w:rPr>
        <w:t>키워드: 오픈스트리트맵, 구글 스트리트뷰, 간판 검출, 광학 문자 인식, 시각-언어 모델, 의미 태깅</w:t>
      </w:r>
    </w:p>
    <w:p>
      <w:pPr>
        <w:spacing w:after="120"/>
      </w:pPr>
      <w:r>
        <w:rPr>
          <w:rFonts w:ascii="맑은 고딕" w:hAnsi="맑은 고딕" w:eastAsia="맑은 고딕"/>
          <w:b/>
          <w:i w:val="0"/>
          <w:sz w:val="24"/>
        </w:rPr>
        <w:t>1. 서론</w:t>
      </w:r>
    </w:p>
    <w:p>
      <w:pPr>
        <w:spacing w:after="80"/>
      </w:pPr>
      <w:r>
        <w:rPr>
          <w:rFonts w:ascii="맑은 고딕" w:hAnsi="맑은 고딕" w:eastAsia="맑은 고딕"/>
          <w:b w:val="0"/>
          <w:i w:val="0"/>
          <w:sz w:val="21"/>
        </w:rPr>
        <w:t>OpenStreetMap(OSM)은 디지털 트윈, 도시 분석, 위치 기반 서비스 등 스마트시티 응용의 기반이 되는 개방형 공간정보이다. 그러나 자발적 기여에 의존하기 때문에 건물 단위의 의미 속성, 특히 상호명(name)과 업종(amenity, shop, office)이 누락되거나 갱신되지 않은 채 남는 경우가 많다. 위성영상이나 LiDAR를 이용한 기존 보완 방법은 주로 기하 정보의 정확도를 높이는 데 초점을 두어, 건물이 무엇을 하는 곳인지에 대한 의미 정보는 복원하기 어렵다.</w:t>
      </w:r>
    </w:p>
    <w:p>
      <w:pPr>
        <w:spacing w:after="80"/>
      </w:pPr>
      <w:r>
        <w:rPr>
          <w:rFonts w:ascii="맑은 고딕" w:hAnsi="맑은 고딕" w:eastAsia="맑은 고딕"/>
          <w:b w:val="0"/>
          <w:i w:val="0"/>
          <w:sz w:val="21"/>
        </w:rPr>
        <w:t>거리 수준 이미지에 찍힌 간판은 상호명과 업종을 직접 담고 있어 이 공백을 메울 수 있는 단서이다. 본 연구는 구글 스트리트뷰(GSV) 이미지에서 간판을 찾아 글자를 읽고, 이를 OSM 태그로 변환하는 모듈형 프레임워크를 제안한다. 프레임워크는 간판 검출, 단어 박스 검출, 문자 인식(OCR), 시각-언어 모델(VLM) 교정, 의미 태깅의 다섯 모듈로 이루어지며, 각 모듈은 지역과 언어 특성에 따라 독립적으로 교체할 수 있다.</w:t>
      </w:r>
    </w:p>
    <w:p>
      <w:pPr>
        <w:spacing w:after="80"/>
      </w:pPr>
      <w:r>
        <w:rPr>
          <w:rFonts w:ascii="맑은 고딕" w:hAnsi="맑은 고딕" w:eastAsia="맑은 고딕"/>
          <w:b w:val="0"/>
          <w:i w:val="0"/>
          <w:sz w:val="21"/>
        </w:rPr>
        <w:t>본 연구의 기여는 다음과 같다. (1) 모듈별로 교체 가능한 OSM 속성 보완 프레임워크를 구성하였다. (2) 서울 강남, 뉴욕 브루클린, 수원 인계동의 GSV 이미지 298장에서 검출기 3종, OCR 3종, VLM 2종을 같은 조건으로 비교하였다. (3) 간판 이미지를 함께 참조하는 VLM 교정이 OCR 오류를 얼마나 줄이는지 정량화하였다. (4) 사진 입력부터 업종 태그 출력까지 전 과정을 연쇄적으로 평가해 단계별 손실을 분리하였다.</w:t>
      </w:r>
    </w:p>
    <w:p>
      <w:pPr>
        <w:spacing w:after="120"/>
      </w:pPr>
      <w:r>
        <w:rPr>
          <w:rFonts w:ascii="맑은 고딕" w:hAnsi="맑은 고딕" w:eastAsia="맑은 고딕"/>
          <w:b/>
          <w:i w:val="0"/>
          <w:sz w:val="24"/>
        </w:rPr>
        <w:t>2. 관련 연구</w:t>
      </w:r>
    </w:p>
    <w:p>
      <w:pPr>
        <w:spacing w:after="80"/>
      </w:pPr>
      <w:r>
        <w:rPr>
          <w:rFonts w:ascii="맑은 고딕" w:hAnsi="맑은 고딕" w:eastAsia="맑은 고딕"/>
          <w:b w:val="0"/>
          <w:i w:val="0"/>
          <w:sz w:val="21"/>
        </w:rPr>
        <w:t>OSM의 품질 보완 연구는 위성영상, LiDAR, 크라우드소싱 자료를 이용해 건물 윤곽과 도로망 같은 기하 정보를 개선하는 방향으로 주로 진행되었다[참고문헌 작성 필요]. 거리 수준 이미지를 이용한 연구는 건물 외관과 간판에서 도시의 기능 정보를 추출할 수 있음을 보였다. 장면 문자 인식(scene text recognition) 분야에서는 PARSeq, SVTRv2 등 트랜스포머 기반 인식기와 PaddleOCR 같은 실용 OCR 시스템이 널리 쓰이며, 최근에는 대규모 언어 모델과 시각-언어 모델을 OCR 후처리와 의미 분류에 활용하는 시도가 늘고 있다. 본 연구는 이 요소들을 하나의 모듈형 프레임워크로 묶고, OSM 태그 생성까지의 연쇄 성능을 함께 평가한다는 점에서 차별된다.</w:t>
      </w:r>
    </w:p>
    <w:p>
      <w:pPr>
        <w:spacing w:after="120"/>
      </w:pPr>
      <w:r>
        <w:rPr>
          <w:rFonts w:ascii="맑은 고딕" w:hAnsi="맑은 고딕" w:eastAsia="맑은 고딕"/>
          <w:b/>
          <w:i w:val="0"/>
          <w:sz w:val="24"/>
        </w:rPr>
        <w:t>3. 제안 방법</w:t>
      </w:r>
    </w:p>
    <w:p>
      <w:pPr>
        <w:spacing w:after="80"/>
      </w:pPr>
      <w:r>
        <w:rPr>
          <w:rFonts w:ascii="맑은 고딕" w:hAnsi="맑은 고딕" w:eastAsia="맑은 고딕"/>
          <w:b/>
          <w:i w:val="0"/>
          <w:sz w:val="21"/>
        </w:rPr>
        <w:t>3.1 전체 구조</w:t>
      </w:r>
    </w:p>
    <w:p>
      <w:pPr>
        <w:spacing w:after="80"/>
      </w:pPr>
      <w:r>
        <w:rPr>
          <w:rFonts w:ascii="맑은 고딕" w:hAnsi="맑은 고딕" w:eastAsia="맑은 고딕"/>
          <w:b w:val="0"/>
          <w:i w:val="0"/>
          <w:sz w:val="21"/>
        </w:rPr>
        <w:t>OSM에서 건물 폴리곤(building=*)을 가져와 중심점과 가장 가까운 도로를 구하고, 도로에서 건물로 향하는 법선 방향을 카메라 방향(heading)으로 정해 해당 건물 정면의 GSV 이미지를 얻는다. 이미지는 OSM 건물 ID와 연결되어, 마지막 단계에서 추출한 상호명과 업종 태그를 원래 건물에 다시 붙일 수 있다. 이미지 처리는 간판 검출 → 단어 박스 검출 → 라인 병합 → OCR → VLM 교정 → 의미 태깅 순서로 진행된다.</w:t>
      </w:r>
    </w:p>
    <w:p>
      <w:pPr>
        <w:spacing w:after="80"/>
      </w:pPr>
      <w:r>
        <w:rPr>
          <w:rFonts w:ascii="맑은 고딕" w:hAnsi="맑은 고딕" w:eastAsia="맑은 고딕"/>
          <w:b/>
          <w:i w:val="0"/>
          <w:sz w:val="21"/>
        </w:rPr>
        <w:t>3.2 간판 검출</w:t>
      </w:r>
    </w:p>
    <w:p>
      <w:pPr>
        <w:spacing w:after="80"/>
      </w:pPr>
      <w:r>
        <w:rPr>
          <w:rFonts w:ascii="맑은 고딕" w:hAnsi="맑은 고딕" w:eastAsia="맑은 고딕"/>
          <w:b w:val="0"/>
          <w:i w:val="0"/>
          <w:sz w:val="21"/>
        </w:rPr>
        <w:t>YOLO26x, YOLOv5x, Faster R-CNN을 GSV 이미지에서 학습하였다. 같은 가게가 찍힌 사진이 학습과 검증에 동시에 들어가지 않도록 가게 단위로 묶은 5-fold 교차검증(group-aware 5-fold)을 사용하였고, 각 사진은 그 사진을 학습하지 않은 fold의 모델로 예측하였다(out-of-fold).</w:t>
      </w:r>
    </w:p>
    <w:p>
      <w:pPr>
        <w:spacing w:after="80"/>
      </w:pPr>
      <w:r>
        <w:rPr>
          <w:rFonts w:ascii="맑은 고딕" w:hAnsi="맑은 고딕" w:eastAsia="맑은 고딕"/>
          <w:b/>
          <w:i w:val="0"/>
          <w:sz w:val="21"/>
        </w:rPr>
        <w:t>3.3 단어 박스 검출과 라인 병합</w:t>
      </w:r>
    </w:p>
    <w:p>
      <w:pPr>
        <w:spacing w:after="80"/>
      </w:pPr>
      <w:r>
        <w:rPr>
          <w:rFonts w:ascii="맑은 고딕" w:hAnsi="맑은 고딕" w:eastAsia="맑은 고딕"/>
          <w:b w:val="0"/>
          <w:i w:val="0"/>
          <w:sz w:val="21"/>
        </w:rPr>
        <w:t>잘라낸 간판 이미지에서 단어 단위 박스를 검출한다. 단어 박스 검출기는 AI Hub 간판 데이터로 학습하였고, 검출된 단어 박스는 세로 위치가 가까운 것끼리 묶어 한 줄(라인) 이미지로 만든 뒤 OCR에 넣는다. 단어 박스 검출기로 YOLO26x를 쓰는 구성을 파이프라인 A, YOLOv5x를 쓰는 구성을 파이프라인 B라 한다.</w:t>
      </w:r>
    </w:p>
    <w:p>
      <w:pPr>
        <w:spacing w:after="80"/>
      </w:pPr>
      <w:r>
        <w:rPr>
          <w:rFonts w:ascii="맑은 고딕" w:hAnsi="맑은 고딕" w:eastAsia="맑은 고딕"/>
          <w:b/>
          <w:i w:val="0"/>
          <w:sz w:val="21"/>
        </w:rPr>
        <w:t>3.4 OCR</w:t>
      </w:r>
    </w:p>
    <w:p>
      <w:pPr>
        <w:spacing w:after="80"/>
      </w:pPr>
      <w:r>
        <w:rPr>
          <w:rFonts w:ascii="맑은 고딕" w:hAnsi="맑은 고딕" w:eastAsia="맑은 고딕"/>
          <w:b w:val="0"/>
          <w:i w:val="0"/>
          <w:sz w:val="21"/>
        </w:rPr>
        <w:t>라인 이미지를 SVTRv2-B, PaddleOCR(PP-OCRv5 인식기), PARSeq(ViT-S)로 인식하였다. 세 인식기는 모두 AI Hub 간판 데이터의 단어 이미지 62,464장과 실제 라인 이미지 13,148장, 총 75,612장으로 같은 조건에서 미세조정(fine-tuning)하였다.</w:t>
      </w:r>
    </w:p>
    <w:p>
      <w:pPr>
        <w:spacing w:after="80"/>
      </w:pPr>
      <w:r>
        <w:rPr>
          <w:rFonts w:ascii="맑은 고딕" w:hAnsi="맑은 고딕" w:eastAsia="맑은 고딕"/>
          <w:b/>
          <w:i w:val="0"/>
          <w:sz w:val="21"/>
        </w:rPr>
        <w:t>3.5 VLM 교정</w:t>
      </w:r>
    </w:p>
    <w:p>
      <w:pPr>
        <w:spacing w:after="80"/>
      </w:pPr>
      <w:r>
        <w:rPr>
          <w:rFonts w:ascii="맑은 고딕" w:hAnsi="맑은 고딕" w:eastAsia="맑은 고딕"/>
          <w:b w:val="0"/>
          <w:i w:val="0"/>
          <w:sz w:val="21"/>
        </w:rPr>
        <w:t>OCR 결과를 Gemma 4 31B와 Qwen3-VL 32B로 교정하였다. 두 가지 입력 방식을 비교하였다. fixtext는 OCR 텍스트만 주어 언어 지식만으로 오타를 고치게 하고, fix는 간판 이미지와 OCR 텍스트를 함께 주어 사진과 대조해 잘못 읽힌 글자만 고치게 한다. 두 방식 모두 라인 수와 순서를 유지하고 새 텍스트를 추가하지 않도록 지시하였으며, temperature는 0으로 두었다. 모델은 Ollama 4-bit 양자화로 RTX 3080 10GB 한 장에서 실행하였다.</w:t>
      </w:r>
    </w:p>
    <w:p>
      <w:pPr>
        <w:spacing w:after="80"/>
      </w:pPr>
      <w:r>
        <w:rPr>
          <w:rFonts w:ascii="맑은 고딕" w:hAnsi="맑은 고딕" w:eastAsia="맑은 고딕"/>
          <w:b/>
          <w:i w:val="0"/>
          <w:sz w:val="21"/>
        </w:rPr>
        <w:t>3.6 의미 태깅</w:t>
      </w:r>
    </w:p>
    <w:p>
      <w:pPr>
        <w:spacing w:after="80"/>
      </w:pPr>
      <w:r>
        <w:rPr>
          <w:rFonts w:ascii="맑은 고딕" w:hAnsi="맑은 고딕" w:eastAsia="맑은 고딕"/>
          <w:b w:val="0"/>
          <w:i w:val="0"/>
          <w:sz w:val="21"/>
        </w:rPr>
        <w:t>교정된 텍스트를 Gemma 4 31B에 입력해 상호명과 OSM 태그를 출력하게 하였다. 태그는 평가 어휘 42종 중 하나를 고르고, 판단 근거가 없으면 unknown으로 기권하도록 하였다. 지역 POI 사전에서 텍스트와 비슷한 상호 후보를 검색해 참고자료로 함께 제공한다. 업종 정답은 OSM 위키의 태그 정의를 기준으로 작성하였다.</w:t>
      </w:r>
    </w:p>
    <w:p>
      <w:pPr>
        <w:spacing w:after="120"/>
      </w:pPr>
      <w:r>
        <w:rPr>
          <w:rFonts w:ascii="맑은 고딕" w:hAnsi="맑은 고딕" w:eastAsia="맑은 고딕"/>
          <w:b/>
          <w:i w:val="0"/>
          <w:sz w:val="24"/>
        </w:rPr>
        <w:t>4. 실험</w:t>
      </w:r>
    </w:p>
    <w:p>
      <w:pPr>
        <w:spacing w:after="80"/>
      </w:pPr>
      <w:r>
        <w:rPr>
          <w:rFonts w:ascii="맑은 고딕" w:hAnsi="맑은 고딕" w:eastAsia="맑은 고딕"/>
          <w:b/>
          <w:i w:val="0"/>
          <w:sz w:val="21"/>
        </w:rPr>
        <w:t>4.1 데이터와 평가 지표</w:t>
      </w:r>
    </w:p>
    <w:p>
      <w:pPr>
        <w:spacing w:after="80"/>
      </w:pPr>
      <w:r>
        <w:rPr>
          <w:rFonts w:ascii="맑은 고딕" w:hAnsi="맑은 고딕" w:eastAsia="맑은 고딕"/>
          <w:b w:val="0"/>
          <w:i w:val="0"/>
          <w:sz w:val="21"/>
        </w:rPr>
        <w:t>서울 강남(99장), 뉴욕 브루클린(99장), 수원 인계동(100장)의 GSV 이미지 298장을 사용하였다. 정답은 간판 453개, 단어 박스 1,467개, OCR 정답이 있는 간판 411개(592 라인), 업종 태깅 평가 대상 377개이다. 간판·단어 박스 검출은 IoU 0.5 기준 AP(AP@0.5)로, OCR은 라인 전체가 정답과 일치하는 비율(line exact)과 문자 오류율(CER)로 평가하였다. 전화번호는 가리고 채점하였고, 브루클린은 영어만 채점하였다. 전체 값은 세 지역의 라인과 글자를 합산한 micro 평균이다.</w:t>
      </w:r>
    </w:p>
    <w:p>
      <w:pPr>
        <w:spacing w:after="80"/>
      </w:pPr>
      <w:r>
        <w:rPr>
          <w:rFonts w:ascii="맑은 고딕" w:hAnsi="맑은 고딕" w:eastAsia="맑은 고딕"/>
          <w:b/>
          <w:i w:val="0"/>
          <w:sz w:val="21"/>
        </w:rPr>
        <w:t>4.2 간판 검출</w:t>
      </w:r>
    </w:p>
    <w:p>
      <w:pPr>
        <w:spacing w:after="80"/>
      </w:pPr>
      <w:r>
        <w:rPr>
          <w:rFonts w:ascii="맑은 고딕" w:hAnsi="맑은 고딕" w:eastAsia="맑은 고딕"/>
          <w:b w:val="0"/>
          <w:i w:val="0"/>
          <w:sz w:val="21"/>
        </w:rPr>
        <w:t>표 1에서 YOLO26x가 AP@0.5 0.860으로 가장 높았고 Faster R-CNN(0.854)이 근소하게 뒤따랐다. YOLOv5x는 0.806으로, 특히 수원에서 0.744로 크게 낮았다. 이후 실험의 간판 검출은 YOLO26x로 고정하였다.</w:t>
      </w:r>
    </w:p>
    <w:p>
      <w:r>
        <w:rPr>
          <w:b/>
          <w:sz w:val="22"/>
        </w:rPr>
        <w:t>표 1. 모델·지역별 간판 검출 성능 (AP@0.5)</w:t>
      </w:r>
    </w:p>
    <w:tbl>
      <w:tblPr>
        <w:tblStyle w:val="af9"/>
        <w:tblW w:w="0" w:type="auto"/>
        <w:tblLook w:val="04A0" w:firstRow="1" w:lastRow="0" w:firstColumn="1" w:lastColumn="0" w:noHBand="0" w:noVBand="1"/>
      </w:tblPr>
      <w:tblGrid>
        <w:gridCol w:w="1728"/>
        <w:gridCol w:w="1728"/>
        <w:gridCol w:w="1728"/>
        <w:gridCol w:w="1728"/>
        <w:gridCol w:w="1728"/>
      </w:tblGrid>
      <w:tr>
        <w:tc>
          <w:tcPr>
            <w:tcW w:w="1728" w:type="dxa"/>
          </w:tcPr>
          <w:p>
            <w:r>
              <w:rPr>
                <w:b/>
                <w:sz w:val="17"/>
              </w:rPr>
              <w:t>모델</w:t>
            </w:r>
          </w:p>
        </w:tc>
        <w:tc>
          <w:tcPr>
            <w:tcW w:w="1728" w:type="dxa"/>
          </w:tcPr>
          <w:p>
            <w:pPr>
              <w:jc w:val="right"/>
            </w:pPr>
            <w:r>
              <w:rPr>
                <w:b/>
                <w:sz w:val="17"/>
              </w:rPr>
              <w:t>강남</w:t>
            </w:r>
          </w:p>
        </w:tc>
        <w:tc>
          <w:tcPr>
            <w:tcW w:w="1728" w:type="dxa"/>
          </w:tcPr>
          <w:p>
            <w:pPr>
              <w:jc w:val="right"/>
            </w:pPr>
            <w:r>
              <w:rPr>
                <w:b/>
                <w:sz w:val="17"/>
              </w:rPr>
              <w:t>브루클린</w:t>
            </w:r>
          </w:p>
        </w:tc>
        <w:tc>
          <w:tcPr>
            <w:tcW w:w="1728" w:type="dxa"/>
          </w:tcPr>
          <w:p>
            <w:pPr>
              <w:jc w:val="right"/>
            </w:pPr>
            <w:r>
              <w:rPr>
                <w:b/>
                <w:sz w:val="17"/>
              </w:rPr>
              <w:t>수원</w:t>
            </w:r>
          </w:p>
        </w:tc>
        <w:tc>
          <w:tcPr>
            <w:tcW w:w="1728" w:type="dxa"/>
          </w:tcPr>
          <w:p>
            <w:pPr>
              <w:jc w:val="right"/>
            </w:pPr>
            <w:r>
              <w:rPr>
                <w:b/>
                <w:sz w:val="17"/>
              </w:rPr>
              <w:t>전체 (pooled)</w:t>
            </w:r>
          </w:p>
        </w:tc>
      </w:tr>
      <w:tr>
        <w:tc>
          <w:tcPr>
            <w:tcW w:w="1728" w:type="dxa"/>
          </w:tcPr>
          <w:p>
            <w:r>
              <w:rPr>
                <w:b/>
                <w:sz w:val="17"/>
              </w:rPr>
              <w:t>YOLO26x (배포)</w:t>
            </w:r>
          </w:p>
        </w:tc>
        <w:tc>
          <w:tcPr>
            <w:tcW w:w="1728" w:type="dxa"/>
          </w:tcPr>
          <w:p>
            <w:pPr>
              <w:jc w:val="right"/>
            </w:pPr>
            <w:r>
              <w:rPr>
                <w:b/>
                <w:sz w:val="17"/>
              </w:rPr>
              <w:t>0.833</w:t>
            </w:r>
          </w:p>
        </w:tc>
        <w:tc>
          <w:tcPr>
            <w:tcW w:w="1728" w:type="dxa"/>
          </w:tcPr>
          <w:p>
            <w:pPr>
              <w:jc w:val="right"/>
            </w:pPr>
            <w:r>
              <w:rPr>
                <w:b/>
                <w:sz w:val="17"/>
              </w:rPr>
              <w:t>0.874</w:t>
            </w:r>
          </w:p>
        </w:tc>
        <w:tc>
          <w:tcPr>
            <w:tcW w:w="1728" w:type="dxa"/>
          </w:tcPr>
          <w:p>
            <w:pPr>
              <w:jc w:val="right"/>
            </w:pPr>
            <w:r>
              <w:rPr>
                <w:b/>
                <w:sz w:val="17"/>
              </w:rPr>
              <w:t>0.879</w:t>
            </w:r>
          </w:p>
        </w:tc>
        <w:tc>
          <w:tcPr>
            <w:tcW w:w="1728" w:type="dxa"/>
          </w:tcPr>
          <w:p>
            <w:pPr>
              <w:jc w:val="right"/>
            </w:pPr>
            <w:r>
              <w:rPr>
                <w:b/>
                <w:sz w:val="17"/>
              </w:rPr>
              <w:t>0.860</w:t>
            </w:r>
          </w:p>
        </w:tc>
      </w:tr>
      <w:tr>
        <w:tc>
          <w:tcPr>
            <w:tcW w:w="1728" w:type="dxa"/>
          </w:tcPr>
          <w:p>
            <w:r>
              <w:rPr>
                <w:sz w:val="17"/>
              </w:rPr>
              <w:t>Faster R-CNN</w:t>
            </w:r>
          </w:p>
        </w:tc>
        <w:tc>
          <w:tcPr>
            <w:tcW w:w="1728" w:type="dxa"/>
          </w:tcPr>
          <w:p>
            <w:pPr>
              <w:jc w:val="right"/>
            </w:pPr>
            <w:r>
              <w:rPr>
                <w:sz w:val="17"/>
              </w:rPr>
              <w:t>0.826</w:t>
            </w:r>
          </w:p>
        </w:tc>
        <w:tc>
          <w:tcPr>
            <w:tcW w:w="1728" w:type="dxa"/>
          </w:tcPr>
          <w:p>
            <w:pPr>
              <w:jc w:val="right"/>
            </w:pPr>
            <w:r>
              <w:rPr>
                <w:sz w:val="17"/>
              </w:rPr>
              <w:t>0.871</w:t>
            </w:r>
          </w:p>
        </w:tc>
        <w:tc>
          <w:tcPr>
            <w:tcW w:w="1728" w:type="dxa"/>
          </w:tcPr>
          <w:p>
            <w:pPr>
              <w:jc w:val="right"/>
            </w:pPr>
            <w:r>
              <w:rPr>
                <w:sz w:val="17"/>
              </w:rPr>
              <w:t>0.884</w:t>
            </w:r>
          </w:p>
        </w:tc>
        <w:tc>
          <w:tcPr>
            <w:tcW w:w="1728" w:type="dxa"/>
          </w:tcPr>
          <w:p>
            <w:pPr>
              <w:jc w:val="right"/>
            </w:pPr>
            <w:r>
              <w:rPr>
                <w:sz w:val="17"/>
              </w:rPr>
              <w:t>0.854</w:t>
            </w:r>
          </w:p>
        </w:tc>
      </w:tr>
      <w:tr>
        <w:tc>
          <w:tcPr>
            <w:tcW w:w="1728" w:type="dxa"/>
          </w:tcPr>
          <w:p>
            <w:r>
              <w:rPr>
                <w:sz w:val="17"/>
              </w:rPr>
              <w:t>YOLOv5x</w:t>
            </w:r>
          </w:p>
        </w:tc>
        <w:tc>
          <w:tcPr>
            <w:tcW w:w="1728" w:type="dxa"/>
          </w:tcPr>
          <w:p>
            <w:pPr>
              <w:jc w:val="right"/>
            </w:pPr>
            <w:r>
              <w:rPr>
                <w:sz w:val="17"/>
              </w:rPr>
              <w:t>0.815</w:t>
            </w:r>
          </w:p>
        </w:tc>
        <w:tc>
          <w:tcPr>
            <w:tcW w:w="1728" w:type="dxa"/>
          </w:tcPr>
          <w:p>
            <w:pPr>
              <w:jc w:val="right"/>
            </w:pPr>
            <w:r>
              <w:rPr>
                <w:sz w:val="17"/>
              </w:rPr>
              <w:t>0.856</w:t>
            </w:r>
          </w:p>
        </w:tc>
        <w:tc>
          <w:tcPr>
            <w:tcW w:w="1728" w:type="dxa"/>
          </w:tcPr>
          <w:p>
            <w:pPr>
              <w:jc w:val="right"/>
            </w:pPr>
            <w:r>
              <w:rPr>
                <w:sz w:val="17"/>
              </w:rPr>
              <w:t>0.744</w:t>
            </w:r>
          </w:p>
        </w:tc>
        <w:tc>
          <w:tcPr>
            <w:tcW w:w="1728" w:type="dxa"/>
          </w:tcPr>
          <w:p>
            <w:pPr>
              <w:jc w:val="right"/>
            </w:pPr>
            <w:r>
              <w:rPr>
                <w:sz w:val="17"/>
              </w:rPr>
              <w:t>0.806</w:t>
            </w:r>
          </w:p>
        </w:tc>
      </w:tr>
    </w:tbl>
    <w:p>
      <w:pPr>
        <w:spacing w:after="40"/>
      </w:pPr>
      <w:r>
        <w:rPr>
          <w:rFonts w:ascii="맑은 고딕" w:hAnsi="맑은 고딕" w:eastAsia="맑은 고딕"/>
          <w:b w:val="0"/>
          <w:i w:val="0"/>
          <w:sz w:val="21"/>
        </w:rPr>
      </w:r>
    </w:p>
    <w:p>
      <w:pPr>
        <w:spacing w:after="80"/>
      </w:pPr>
      <w:r>
        <w:rPr>
          <w:rFonts w:ascii="맑은 고딕" w:hAnsi="맑은 고딕" w:eastAsia="맑은 고딕"/>
          <w:b/>
          <w:i w:val="0"/>
          <w:sz w:val="21"/>
        </w:rPr>
        <w:t>4.3 단어 박스 검출</w:t>
      </w:r>
    </w:p>
    <w:p>
      <w:pPr>
        <w:spacing w:after="80"/>
      </w:pPr>
      <w:r>
        <w:rPr>
          <w:rFonts w:ascii="맑은 고딕" w:hAnsi="맑은 고딕" w:eastAsia="맑은 고딕"/>
          <w:b w:val="0"/>
          <w:i w:val="0"/>
          <w:sz w:val="21"/>
        </w:rPr>
        <w:t>표 2는 AI Hub 시험 데이터, GSV의 정답 간판 위, 그리고 간판 검출부터 이어 붙인 연쇄 조건의 단어 박스 AP@0.5이다. YOLO26x와 YOLOv5x는 GSV 정답 간판 위에서 0.892와 0.893, 연쇄 조건에서 0.740과 0.745로 차이가 0.001~0.005에 그쳐 구분되지 않았다. 따라서 두 검출기를 각각 사용하는 파이프라인 A와 B를 모두 최종 평가에 포함하였다.</w:t>
      </w:r>
    </w:p>
    <w:p>
      <w:r>
        <w:rPr>
          <w:b/>
          <w:sz w:val="22"/>
        </w:rPr>
        <w:t>표 2. 단어 박스(word-box) 검출 성능 — 모두 AP@0.5</w:t>
      </w:r>
    </w:p>
    <w:tbl>
      <w:tblPr>
        <w:tblStyle w:val="af9"/>
        <w:tblW w:w="0" w:type="auto"/>
        <w:tblLook w:val="04A0" w:firstRow="1" w:lastRow="0" w:firstColumn="1" w:lastColumn="0" w:noHBand="0" w:noVBand="1"/>
      </w:tblPr>
      <w:tblGrid>
        <w:gridCol w:w="2706"/>
        <w:gridCol w:w="1993"/>
        <w:gridCol w:w="1851"/>
        <w:gridCol w:w="205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6" w:type="dxa"/>
          </w:tcPr>
          <w:p>
            <w:r>
              <w:rPr>
                <w:b/>
                <w:sz w:val="17"/>
              </w:rPr>
              <w:t>모델</w:t>
            </w:r>
          </w:p>
        </w:tc>
        <w:tc>
          <w:tcPr>
            <w:tcW w:w="1993" w:type="dxa"/>
          </w:tcPr>
          <w:p>
            <w:pPr>
              <w:cnfStyle w:val="100000000000" w:firstRow="1" w:lastRow="0" w:firstColumn="0" w:lastColumn="0" w:oddVBand="0" w:evenVBand="0" w:oddHBand="0" w:evenHBand="0" w:firstRowFirstColumn="0" w:firstRowLastColumn="0" w:lastRowFirstColumn="0" w:lastRowLastColumn="0"/>
              <w:jc w:val="right"/>
            </w:pPr>
            <w:r>
              <w:rPr>
                <w:b/>
                <w:sz w:val="17"/>
              </w:rPr>
              <w:t>단어 박스 AP@0.5 (AI Hub)</w:t>
            </w:r>
          </w:p>
        </w:tc>
        <w:tc>
          <w:tcPr>
            <w:tcW w:w="1851" w:type="dxa"/>
          </w:tcPr>
          <w:p>
            <w:pPr>
              <w:cnfStyle w:val="100000000000" w:firstRow="1" w:lastRow="0" w:firstColumn="0" w:lastColumn="0" w:oddVBand="0" w:evenVBand="0" w:oddHBand="0" w:evenHBand="0" w:firstRowFirstColumn="0" w:firstRowLastColumn="0" w:lastRowFirstColumn="0" w:lastRowLastColumn="0"/>
              <w:jc w:val="right"/>
            </w:pPr>
            <w:r>
              <w:rPr>
                <w:b/>
                <w:sz w:val="17"/>
              </w:rPr>
              <w:t>단어 박스 AP@0.5 (GSV, GT 간판 위)</w:t>
            </w:r>
          </w:p>
        </w:tc>
        <w:tc>
          <w:tcPr>
            <w:tcW w:w="2050" w:type="dxa"/>
          </w:tcPr>
          <w:p>
            <w:pPr>
              <w:cnfStyle w:val="100000000000" w:firstRow="1" w:lastRow="0" w:firstColumn="0" w:lastColumn="0" w:oddVBand="0" w:evenVBand="0" w:oddHBand="0" w:evenHBand="0" w:firstRowFirstColumn="0" w:firstRowLastColumn="0" w:lastRowFirstColumn="0" w:lastRowLastColumn="0"/>
              <w:jc w:val="right"/>
            </w:pPr>
            <w:r>
              <w:rPr>
                <w:b/>
                <w:sz w:val="17"/>
              </w:rPr>
              <w:t>연쇄(chained), AP@0.5 (GSV)</w:t>
            </w:r>
            <w:r>
              <w:rPr>
                <w:lang w:eastAsia="ko-KR"/>
                <w:b/>
                <w:sz w:val="17"/>
                <w:rtl w:val="off"/>
              </w:rPr>
              <w:t xml:space="preserve"> </w:t>
            </w:r>
            <w:r>
              <w:rPr>
                <w:b/>
                <w:sz w:val="17"/>
              </w:rPr>
              <w:t>간판 미검출 사진 제외</w:t>
            </w:r>
          </w:p>
        </w:tc>
      </w:tr>
      <w:tr>
        <w:trPr/>
        <w:tc>
          <w:tcPr>
            <w:cnfStyle w:val="001000000000" w:firstRow="0" w:lastRow="0" w:firstColumn="1" w:lastColumn="0" w:oddVBand="0" w:evenVBand="0" w:oddHBand="0" w:evenHBand="0" w:firstRowFirstColumn="0" w:firstRowLastColumn="0" w:lastRowFirstColumn="0" w:lastRowLastColumn="0"/>
            <w:tcW w:w="2706" w:type="dxa"/>
          </w:tcPr>
          <w:p>
            <w:pPr>
              <w:rPr>
                <w:bCs/>
              </w:rPr>
            </w:pPr>
            <w:r>
              <w:rPr>
                <w:bCs/>
                <w:sz w:val="17"/>
              </w:rPr>
              <w:t xml:space="preserve">YOLO26x </w:t>
            </w:r>
          </w:p>
        </w:tc>
        <w:tc>
          <w:tcPr>
            <w:tcW w:w="1993" w:type="dxa"/>
          </w:tcPr>
          <w:p>
            <w:pPr>
              <w:jc w:val="right"/>
              <w:rPr>
                <w:bCs/>
              </w:rPr>
            </w:pPr>
            <w:r>
              <w:rPr>
                <w:bCs/>
                <w:sz w:val="17"/>
              </w:rPr>
              <w:t>0.822</w:t>
            </w:r>
          </w:p>
        </w:tc>
        <w:tc>
          <w:tcPr>
            <w:tcW w:w="1851" w:type="dxa"/>
          </w:tcPr>
          <w:p>
            <w:pPr>
              <w:jc w:val="right"/>
              <w:rPr>
                <w:bCs/>
              </w:rPr>
            </w:pPr>
            <w:r>
              <w:rPr>
                <w:bCs/>
                <w:sz w:val="17"/>
              </w:rPr>
              <w:t>0.892</w:t>
            </w:r>
          </w:p>
        </w:tc>
        <w:tc>
          <w:tcPr>
            <w:tcW w:w="2050" w:type="dxa"/>
          </w:tcPr>
          <w:p>
            <w:pPr>
              <w:jc w:val="right"/>
              <w:rPr>
                <w:bCs/>
              </w:rPr>
            </w:pPr>
            <w:r>
              <w:rPr>
                <w:bCs/>
                <w:sz w:val="17"/>
              </w:rPr>
              <w:t>0.740</w:t>
            </w:r>
          </w:p>
        </w:tc>
      </w:tr>
      <w:tr>
        <w:trPr/>
        <w:tc>
          <w:tcPr>
            <w:cnfStyle w:val="001000000000" w:firstRow="0" w:lastRow="0" w:firstColumn="1" w:lastColumn="0" w:oddVBand="0" w:evenVBand="0" w:oddHBand="0" w:evenHBand="0" w:firstRowFirstColumn="0" w:firstRowLastColumn="0" w:lastRowFirstColumn="0" w:lastRowLastColumn="0"/>
            <w:tcW w:w="2706" w:type="dxa"/>
          </w:tcPr>
          <w:p>
            <w:r>
              <w:rPr>
                <w:sz w:val="17"/>
              </w:rPr>
              <w:t>YOLOv5x</w:t>
            </w:r>
          </w:p>
        </w:tc>
        <w:tc>
          <w:tcPr>
            <w:tcW w:w="1993" w:type="dxa"/>
          </w:tcPr>
          <w:p>
            <w:pPr>
              <w:jc w:val="right"/>
            </w:pPr>
            <w:r>
              <w:rPr>
                <w:sz w:val="17"/>
              </w:rPr>
              <w:t>0.809</w:t>
            </w:r>
          </w:p>
        </w:tc>
        <w:tc>
          <w:tcPr>
            <w:tcW w:w="1851" w:type="dxa"/>
          </w:tcPr>
          <w:p>
            <w:pPr>
              <w:jc w:val="right"/>
            </w:pPr>
            <w:r>
              <w:rPr>
                <w:sz w:val="17"/>
              </w:rPr>
              <w:t>0.893</w:t>
            </w:r>
          </w:p>
        </w:tc>
        <w:tc>
          <w:tcPr>
            <w:tcW w:w="2050" w:type="dxa"/>
          </w:tcPr>
          <w:p>
            <w:pPr>
              <w:jc w:val="right"/>
            </w:pPr>
            <w:r>
              <w:rPr>
                <w:sz w:val="17"/>
              </w:rPr>
              <w:t>0.745</w:t>
            </w:r>
          </w:p>
        </w:tc>
      </w:tr>
      <w:tr>
        <w:trPr/>
        <w:tc>
          <w:tcPr>
            <w:cnfStyle w:val="001000000000" w:firstRow="0" w:lastRow="0" w:firstColumn="1" w:lastColumn="0" w:oddVBand="0" w:evenVBand="0" w:oddHBand="0" w:evenHBand="0" w:firstRowFirstColumn="0" w:firstRowLastColumn="0" w:lastRowFirstColumn="0" w:lastRowLastColumn="0"/>
            <w:tcW w:w="2706" w:type="dxa"/>
          </w:tcPr>
          <w:p>
            <w:r>
              <w:rPr>
                <w:sz w:val="17"/>
              </w:rPr>
              <w:t>Faster R-CNN</w:t>
            </w:r>
          </w:p>
        </w:tc>
        <w:tc>
          <w:tcPr>
            <w:tcW w:w="1993" w:type="dxa"/>
          </w:tcPr>
          <w:p>
            <w:pPr>
              <w:jc w:val="right"/>
            </w:pPr>
            <w:r>
              <w:rPr>
                <w:sz w:val="17"/>
              </w:rPr>
              <w:t>0.715</w:t>
            </w:r>
          </w:p>
        </w:tc>
        <w:tc>
          <w:tcPr>
            <w:tcW w:w="1851" w:type="dxa"/>
          </w:tcPr>
          <w:p>
            <w:pPr>
              <w:jc w:val="right"/>
            </w:pPr>
            <w:r>
              <w:rPr>
                <w:sz w:val="17"/>
              </w:rPr>
              <w:t>0.827</w:t>
            </w:r>
          </w:p>
        </w:tc>
        <w:tc>
          <w:tcPr>
            <w:tcW w:w="2050" w:type="dxa"/>
          </w:tcPr>
          <w:p>
            <w:pPr>
              <w:jc w:val="right"/>
            </w:pPr>
            <w:r>
              <w:rPr>
                <w:sz w:val="17"/>
              </w:rPr>
              <w:t>0.696</w:t>
            </w:r>
          </w:p>
        </w:tc>
      </w:tr>
    </w:tbl>
    <w:p>
      <w:pPr>
        <w:spacing w:after="40"/>
      </w:pPr>
      <w:r>
        <w:rPr>
          <w:rFonts w:ascii="맑은 고딕" w:hAnsi="맑은 고딕" w:eastAsia="맑은 고딕"/>
          <w:b w:val="0"/>
          <w:i w:val="0"/>
          <w:sz w:val="21"/>
        </w:rPr>
      </w:r>
    </w:p>
    <w:p>
      <w:pPr>
        <w:spacing w:after="80"/>
      </w:pPr>
      <w:r>
        <w:rPr>
          <w:rFonts w:ascii="맑은 고딕" w:hAnsi="맑은 고딕" w:eastAsia="맑은 고딕"/>
          <w:b/>
          <w:i w:val="0"/>
          <w:sz w:val="21"/>
        </w:rPr>
        <w:t>4.4 OCR</w:t>
      </w:r>
    </w:p>
    <w:p>
      <w:pPr>
        <w:spacing w:after="80"/>
      </w:pPr>
      <w:r>
        <w:rPr>
          <w:rFonts w:ascii="맑은 고딕" w:hAnsi="맑은 고딕" w:eastAsia="맑은 고딕"/>
          <w:b w:val="0"/>
          <w:i w:val="0"/>
          <w:sz w:val="21"/>
        </w:rPr>
        <w:t>표 3에서 SVTRv2-B가 line exact 75.5%, CER 0.147로 가장 좋았고 PaddleOCR(73.5%, 0.149), PARSeq(68.6%, 0.197)가 뒤를 이었다. 사진 단위로 절반을 나눈 held-out 데이터에서 계산한 95% 신뢰구간은 PaddleOCR 대비 SVTRv2-B +3.5%p [−1.0, +7.9], PARSeq −3.5%p [−8.2, +1.3]로 모두 0을 포함해, 세 인식기는 같은 수준으로 판단된다. 이후 실험은 한 번의 인식으로 가장 높은 정확도를 낸 SVTRv2-B를 사용하였다.</w:t>
      </w:r>
    </w:p>
    <w:p>
      <w:r>
        <w:rPr>
          <w:b/>
          <w:sz w:val="22"/>
        </w:rPr>
        <w:t>표 3. OCR 인식기 단독 성능, 지역별 (line exact / CER)</w:t>
      </w:r>
    </w:p>
    <w:tbl>
      <w:tblPr>
        <w:tblStyle w:val="af9"/>
        <w:tblW w:w="0" w:type="auto"/>
        <w:tblLook w:val="04A0" w:firstRow="1" w:lastRow="0" w:firstColumn="1" w:lastColumn="0" w:noHBand="0" w:noVBand="1"/>
      </w:tblPr>
      <w:tblGrid>
        <w:gridCol w:w="1502"/>
        <w:gridCol w:w="1301"/>
        <w:gridCol w:w="1316"/>
        <w:gridCol w:w="1306"/>
        <w:gridCol w:w="1088"/>
        <w:gridCol w:w="1141"/>
        <w:gridCol w:w="1003"/>
      </w:tblGrid>
      <w:tr>
        <w:trPr>
          <w:trHeight w:val="205" w:hRule="atLeast"/>
        </w:trPr>
        <w:tc>
          <w:tcPr>
            <w:tcW w:w="1502" w:type="dxa"/>
          </w:tcPr>
          <w:p>
            <w:r>
              <w:rPr>
                <w:b/>
                <w:sz w:val="17"/>
              </w:rPr>
              <w:t>인식기</w:t>
            </w:r>
          </w:p>
        </w:tc>
        <w:tc>
          <w:tcPr>
            <w:tcW w:w="1301" w:type="dxa"/>
          </w:tcPr>
          <w:p>
            <w:pPr>
              <w:jc w:val="right"/>
            </w:pPr>
            <w:r>
              <w:rPr>
                <w:b/>
                <w:sz w:val="17"/>
              </w:rPr>
              <w:t>학습</w:t>
            </w:r>
          </w:p>
        </w:tc>
        <w:tc>
          <w:tcPr>
            <w:tcW w:w="1316" w:type="dxa"/>
          </w:tcPr>
          <w:p>
            <w:pPr>
              <w:jc w:val="right"/>
            </w:pPr>
            <w:r>
              <w:rPr>
                <w:b/>
                <w:sz w:val="17"/>
              </w:rPr>
              <w:t>강남</w:t>
            </w:r>
          </w:p>
        </w:tc>
        <w:tc>
          <w:tcPr>
            <w:tcW w:w="1306" w:type="dxa"/>
          </w:tcPr>
          <w:p>
            <w:pPr>
              <w:jc w:val="right"/>
            </w:pPr>
            <w:r>
              <w:rPr>
                <w:b/>
                <w:sz w:val="17"/>
              </w:rPr>
              <w:t>브루클린</w:t>
            </w:r>
          </w:p>
        </w:tc>
        <w:tc>
          <w:tcPr>
            <w:tcW w:w="1088" w:type="dxa"/>
          </w:tcPr>
          <w:p>
            <w:pPr>
              <w:jc w:val="right"/>
            </w:pPr>
            <w:r>
              <w:rPr>
                <w:b/>
                <w:sz w:val="17"/>
              </w:rPr>
              <w:t>수원</w:t>
            </w:r>
          </w:p>
        </w:tc>
        <w:tc>
          <w:tcPr>
            <w:tcW w:w="1141" w:type="dxa"/>
          </w:tcPr>
          <w:p>
            <w:pPr>
              <w:jc w:val="right"/>
            </w:pPr>
            <w:r>
              <w:rPr>
                <w:b/>
                <w:sz w:val="17"/>
              </w:rPr>
              <w:t>전체</w:t>
            </w:r>
            <w:r>
              <w:rPr>
                <w:lang w:eastAsia="ko-KR"/>
                <w:b/>
                <w:sz w:val="17"/>
                <w:rtl w:val="off"/>
              </w:rPr>
              <w:t>(line exact 평균)</w:t>
            </w:r>
          </w:p>
        </w:tc>
        <w:tc>
          <w:tcPr>
            <w:tcW w:w="1003" w:type="dxa"/>
          </w:tcPr>
          <w:p>
            <w:pPr>
              <w:jc w:val="right"/>
            </w:pPr>
            <w:r>
              <w:rPr>
                <w:b/>
                <w:sz w:val="17"/>
              </w:rPr>
              <w:t>CER</w:t>
            </w:r>
          </w:p>
        </w:tc>
      </w:tr>
      <w:tr>
        <w:trPr>
          <w:trHeight w:val="409" w:hRule="atLeast"/>
        </w:trPr>
        <w:tc>
          <w:tcPr>
            <w:tcW w:w="1502" w:type="dxa"/>
          </w:tcPr>
          <w:p>
            <w:r>
              <w:rPr>
                <w:sz w:val="17"/>
              </w:rPr>
              <w:t>PARSeq</w:t>
            </w:r>
            <w:r>
              <w:rPr>
                <w:sz w:val="17"/>
              </w:rPr>
              <w:t xml:space="preserve"> (</w:t>
            </w:r>
            <w:r>
              <w:rPr>
                <w:sz w:val="17"/>
              </w:rPr>
              <w:t>ViT</w:t>
            </w:r>
            <w:r>
              <w:rPr>
                <w:sz w:val="17"/>
              </w:rPr>
              <w:t>-S)</w:t>
            </w:r>
          </w:p>
        </w:tc>
        <w:tc>
          <w:tcPr>
            <w:tcW w:w="1301" w:type="dxa"/>
          </w:tcPr>
          <w:p>
            <w:pPr>
              <w:jc w:val="right"/>
            </w:pPr>
            <w:r>
              <w:rPr>
                <w:sz w:val="17"/>
              </w:rPr>
              <w:t xml:space="preserve">fine-tuned </w:t>
            </w:r>
          </w:p>
        </w:tc>
        <w:tc>
          <w:tcPr>
            <w:tcW w:w="1316" w:type="dxa"/>
          </w:tcPr>
          <w:p>
            <w:pPr>
              <w:jc w:val="right"/>
            </w:pPr>
            <w:r>
              <w:rPr>
                <w:sz w:val="17"/>
              </w:rPr>
              <w:t>70.8 / 0.242</w:t>
            </w:r>
          </w:p>
        </w:tc>
        <w:tc>
          <w:tcPr>
            <w:tcW w:w="1306" w:type="dxa"/>
          </w:tcPr>
          <w:p>
            <w:pPr>
              <w:jc w:val="right"/>
            </w:pPr>
            <w:r>
              <w:rPr>
                <w:sz w:val="17"/>
              </w:rPr>
              <w:t>71.9 / 0.133</w:t>
            </w:r>
          </w:p>
        </w:tc>
        <w:tc>
          <w:tcPr>
            <w:tcW w:w="1088" w:type="dxa"/>
          </w:tcPr>
          <w:p>
            <w:pPr>
              <w:jc w:val="right"/>
            </w:pPr>
            <w:r>
              <w:rPr>
                <w:sz w:val="17"/>
              </w:rPr>
              <w:t>62.4 / 0.290</w:t>
            </w:r>
          </w:p>
        </w:tc>
        <w:tc>
          <w:tcPr>
            <w:tcW w:w="1141" w:type="dxa"/>
          </w:tcPr>
          <w:p>
            <w:pPr>
              <w:jc w:val="right"/>
            </w:pPr>
            <w:r>
              <w:rPr>
                <w:sz w:val="17"/>
              </w:rPr>
              <w:t>68.6%</w:t>
            </w:r>
          </w:p>
        </w:tc>
        <w:tc>
          <w:tcPr>
            <w:tcW w:w="1003" w:type="dxa"/>
          </w:tcPr>
          <w:p>
            <w:pPr>
              <w:jc w:val="right"/>
            </w:pPr>
            <w:r>
              <w:rPr>
                <w:sz w:val="17"/>
              </w:rPr>
              <w:t>0.197</w:t>
            </w:r>
          </w:p>
        </w:tc>
      </w:tr>
      <w:tr>
        <w:trPr>
          <w:trHeight w:val="497" w:hRule="atLeast"/>
        </w:trPr>
        <w:tc>
          <w:tcPr>
            <w:tcW w:w="1502" w:type="dxa"/>
          </w:tcPr>
          <w:p>
            <w:r>
              <w:rPr>
                <w:sz w:val="17"/>
              </w:rPr>
              <w:t>PaddleOCR</w:t>
            </w:r>
            <w:r>
              <w:rPr>
                <w:sz w:val="17"/>
              </w:rPr>
              <w:t xml:space="preserve"> PP-OCRv5 rec</w:t>
            </w:r>
          </w:p>
        </w:tc>
        <w:tc>
          <w:tcPr>
            <w:tcW w:w="1301" w:type="dxa"/>
          </w:tcPr>
          <w:p>
            <w:pPr>
              <w:jc w:val="right"/>
            </w:pPr>
            <w:r>
              <w:rPr>
                <w:sz w:val="17"/>
              </w:rPr>
              <w:t xml:space="preserve">fine-tuned </w:t>
            </w:r>
          </w:p>
        </w:tc>
        <w:tc>
          <w:tcPr>
            <w:tcW w:w="1316" w:type="dxa"/>
          </w:tcPr>
          <w:p>
            <w:pPr>
              <w:jc w:val="right"/>
            </w:pPr>
            <w:r>
              <w:rPr>
                <w:sz w:val="17"/>
              </w:rPr>
              <w:t>73.6 / 0.190</w:t>
            </w:r>
          </w:p>
        </w:tc>
        <w:tc>
          <w:tcPr>
            <w:tcW w:w="1306" w:type="dxa"/>
          </w:tcPr>
          <w:p>
            <w:pPr>
              <w:jc w:val="right"/>
            </w:pPr>
            <w:r>
              <w:rPr>
                <w:sz w:val="17"/>
              </w:rPr>
              <w:t>77.9 / 0.108</w:t>
            </w:r>
          </w:p>
        </w:tc>
        <w:tc>
          <w:tcPr>
            <w:tcW w:w="1088" w:type="dxa"/>
          </w:tcPr>
          <w:p>
            <w:pPr>
              <w:jc w:val="right"/>
            </w:pPr>
            <w:r>
              <w:rPr>
                <w:sz w:val="17"/>
              </w:rPr>
              <w:t>68.5 / 0.190</w:t>
            </w:r>
          </w:p>
        </w:tc>
        <w:tc>
          <w:tcPr>
            <w:tcW w:w="1141" w:type="dxa"/>
          </w:tcPr>
          <w:p>
            <w:pPr>
              <w:jc w:val="right"/>
            </w:pPr>
            <w:r>
              <w:rPr>
                <w:sz w:val="17"/>
              </w:rPr>
              <w:t>73.5%</w:t>
            </w:r>
          </w:p>
        </w:tc>
        <w:tc>
          <w:tcPr>
            <w:tcW w:w="1003" w:type="dxa"/>
          </w:tcPr>
          <w:p>
            <w:pPr>
              <w:jc w:val="right"/>
            </w:pPr>
            <w:r>
              <w:rPr>
                <w:sz w:val="17"/>
              </w:rPr>
              <w:t>0.149</w:t>
            </w:r>
          </w:p>
        </w:tc>
      </w:tr>
      <w:tr>
        <w:trPr>
          <w:trHeight w:val="409" w:hRule="atLeast"/>
        </w:trPr>
        <w:tc>
          <w:tcPr>
            <w:tcW w:w="1502" w:type="dxa"/>
          </w:tcPr>
          <w:p>
            <w:r>
              <w:rPr>
                <w:b/>
                <w:sz w:val="17"/>
              </w:rPr>
              <w:t>SVTRv2-B (배포)</w:t>
            </w:r>
          </w:p>
        </w:tc>
        <w:tc>
          <w:tcPr>
            <w:tcW w:w="1301" w:type="dxa"/>
          </w:tcPr>
          <w:p>
            <w:pPr>
              <w:jc w:val="right"/>
            </w:pPr>
            <w:r>
              <w:rPr>
                <w:b/>
                <w:sz w:val="17"/>
              </w:rPr>
              <w:t>fine-tuned</w:t>
            </w:r>
          </w:p>
        </w:tc>
        <w:tc>
          <w:tcPr>
            <w:tcW w:w="1316" w:type="dxa"/>
          </w:tcPr>
          <w:p>
            <w:pPr>
              <w:jc w:val="right"/>
            </w:pPr>
            <w:r>
              <w:rPr>
                <w:b/>
                <w:sz w:val="17"/>
              </w:rPr>
              <w:t>74.5 / 0.185</w:t>
            </w:r>
          </w:p>
        </w:tc>
        <w:tc>
          <w:tcPr>
            <w:tcW w:w="1306" w:type="dxa"/>
          </w:tcPr>
          <w:p>
            <w:pPr>
              <w:jc w:val="right"/>
            </w:pPr>
            <w:r>
              <w:rPr>
                <w:b/>
                <w:sz w:val="17"/>
              </w:rPr>
              <w:t>78.9 / 0.105</w:t>
            </w:r>
          </w:p>
        </w:tc>
        <w:tc>
          <w:tcPr>
            <w:tcW w:w="1088" w:type="dxa"/>
          </w:tcPr>
          <w:p>
            <w:pPr>
              <w:jc w:val="right"/>
            </w:pPr>
            <w:r>
              <w:rPr>
                <w:b/>
                <w:sz w:val="17"/>
              </w:rPr>
              <w:t>72.9 / 0.197</w:t>
            </w:r>
          </w:p>
        </w:tc>
        <w:tc>
          <w:tcPr>
            <w:tcW w:w="1141" w:type="dxa"/>
          </w:tcPr>
          <w:p>
            <w:pPr>
              <w:jc w:val="right"/>
            </w:pPr>
            <w:r>
              <w:rPr>
                <w:b/>
                <w:sz w:val="17"/>
              </w:rPr>
              <w:t>75.5%</w:t>
            </w:r>
          </w:p>
        </w:tc>
        <w:tc>
          <w:tcPr>
            <w:tcW w:w="1003" w:type="dxa"/>
          </w:tcPr>
          <w:p>
            <w:pPr>
              <w:jc w:val="right"/>
            </w:pPr>
            <w:r>
              <w:rPr>
                <w:b/>
                <w:sz w:val="17"/>
              </w:rPr>
              <w:t>0.147</w:t>
            </w:r>
          </w:p>
        </w:tc>
      </w:tr>
    </w:tbl>
    <w:p>
      <w:pPr>
        <w:spacing w:after="40"/>
      </w:pPr>
      <w:r>
        <w:rPr>
          <w:rFonts w:ascii="맑은 고딕" w:hAnsi="맑은 고딕" w:eastAsia="맑은 고딕"/>
          <w:b w:val="0"/>
          <w:i w:val="0"/>
          <w:sz w:val="21"/>
        </w:rPr>
      </w:r>
    </w:p>
    <w:p>
      <w:pPr>
        <w:spacing w:after="80"/>
      </w:pPr>
      <w:r>
        <w:rPr>
          <w:rFonts w:ascii="맑은 고딕" w:hAnsi="맑은 고딕" w:eastAsia="맑은 고딕"/>
          <w:b/>
          <w:i w:val="0"/>
          <w:sz w:val="21"/>
        </w:rPr>
        <w:t>4.5 VLM 교정</w:t>
      </w:r>
    </w:p>
    <w:p>
      <w:pPr>
        <w:spacing w:after="80"/>
      </w:pPr>
      <w:r>
        <w:rPr>
          <w:rFonts w:ascii="맑은 고딕" w:hAnsi="맑은 고딕" w:eastAsia="맑은 고딕"/>
          <w:b w:val="0"/>
          <w:i w:val="0"/>
          <w:sz w:val="21"/>
        </w:rPr>
        <w:t>표 4는 파이프라인 A의 라인 이미지에서 SVTRv2-B 출력을 교정한 결과이다. 텍스트만 준 fixtext는 두 모델 모두 76.5%로 교정 전보다 1.0%p 오르는 데 그쳤지만, 간판 이미지를 함께 준 fix는 Gemma 4 31B 83.4%(+7.9%p), Qwen3-VL 32B 82.8%(+7.3%p)로 크게 향상되었다. 교정 이득의 대부분이 언어 지식이 아니라 이미지와의 대조에서 나온다는 뜻이다. 같은 입력으로 다시 실행했을 때 전체 정확도의 변동은 0.1%p였다. 이후 실험은 Gemma 4 31B · fix를 사용하였다. 파이프라인 B의 라인 이미지에서도 같은 교정으로 75.5%에서 82.3%로 향상되었다.</w:t>
      </w:r>
    </w:p>
    <w:p>
      <w:r>
        <w:rPr>
          <w:b/>
          <w:sz w:val="22"/>
        </w:rPr>
        <w:t>표 4. SVTRv2-B + VLM 교정 성능, 모델·방법별, 지역별 (line exact / CER)</w:t>
      </w:r>
    </w:p>
    <w:tbl>
      <w:tblPr>
        <w:tblStyle w:val="af9"/>
        <w:tblW w:w="0" w:type="auto"/>
        <w:tblLook w:val="04A0" w:firstRow="1" w:lastRow="0" w:firstColumn="1" w:lastColumn="0" w:noHBand="0" w:noVBand="1"/>
      </w:tblPr>
      <w:tblGrid>
        <w:gridCol w:w="1234"/>
        <w:gridCol w:w="1234"/>
        <w:gridCol w:w="1234"/>
        <w:gridCol w:w="1234"/>
        <w:gridCol w:w="1234"/>
        <w:gridCol w:w="1234"/>
        <w:gridCol w:w="123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
              <w:rPr>
                <w:b/>
                <w:sz w:val="17"/>
              </w:rPr>
              <w:t>방법</w:t>
            </w:r>
          </w:p>
        </w:tc>
        <w:tc>
          <w:tcPr>
            <w:tcW w:w="1234" w:type="dxa"/>
          </w:tcPr>
          <w:p>
            <w:pPr>
              <w:cnfStyle w:val="100000000000" w:firstRow="1" w:lastRow="0" w:firstColumn="0" w:lastColumn="0" w:oddVBand="0" w:evenVBand="0" w:oddHBand="0" w:evenHBand="0" w:firstRowFirstColumn="0" w:firstRowLastColumn="0" w:lastRowFirstColumn="0" w:lastRowLastColumn="0"/>
              <w:jc w:val="right"/>
            </w:pPr>
            <w:r>
              <w:rPr>
                <w:b/>
                <w:sz w:val="17"/>
              </w:rPr>
              <w:t>VLM 입력</w:t>
            </w:r>
          </w:p>
        </w:tc>
        <w:tc>
          <w:tcPr>
            <w:tcW w:w="1234" w:type="dxa"/>
          </w:tcPr>
          <w:p>
            <w:pPr>
              <w:cnfStyle w:val="100000000000" w:firstRow="1" w:lastRow="0" w:firstColumn="0" w:lastColumn="0" w:oddVBand="0" w:evenVBand="0" w:oddHBand="0" w:evenHBand="0" w:firstRowFirstColumn="0" w:firstRowLastColumn="0" w:lastRowFirstColumn="0" w:lastRowLastColumn="0"/>
              <w:jc w:val="right"/>
            </w:pPr>
            <w:r>
              <w:rPr>
                <w:b/>
                <w:sz w:val="17"/>
              </w:rPr>
              <w:t>강남</w:t>
            </w:r>
          </w:p>
        </w:tc>
        <w:tc>
          <w:tcPr>
            <w:tcW w:w="1234" w:type="dxa"/>
          </w:tcPr>
          <w:p>
            <w:pPr>
              <w:cnfStyle w:val="100000000000" w:firstRow="1" w:lastRow="0" w:firstColumn="0" w:lastColumn="0" w:oddVBand="0" w:evenVBand="0" w:oddHBand="0" w:evenHBand="0" w:firstRowFirstColumn="0" w:firstRowLastColumn="0" w:lastRowFirstColumn="0" w:lastRowLastColumn="0"/>
              <w:jc w:val="right"/>
            </w:pPr>
            <w:r>
              <w:rPr>
                <w:b/>
                <w:sz w:val="17"/>
              </w:rPr>
              <w:t>브루클린</w:t>
            </w:r>
          </w:p>
        </w:tc>
        <w:tc>
          <w:tcPr>
            <w:tcW w:w="1234" w:type="dxa"/>
          </w:tcPr>
          <w:p>
            <w:pPr>
              <w:cnfStyle w:val="100000000000" w:firstRow="1" w:lastRow="0" w:firstColumn="0" w:lastColumn="0" w:oddVBand="0" w:evenVBand="0" w:oddHBand="0" w:evenHBand="0" w:firstRowFirstColumn="0" w:firstRowLastColumn="0" w:lastRowFirstColumn="0" w:lastRowLastColumn="0"/>
              <w:jc w:val="right"/>
            </w:pPr>
            <w:r>
              <w:rPr>
                <w:b/>
                <w:sz w:val="17"/>
              </w:rPr>
              <w:t>수원</w:t>
            </w:r>
          </w:p>
        </w:tc>
        <w:tc>
          <w:tcPr>
            <w:tcW w:w="1234" w:type="dxa"/>
          </w:tcPr>
          <w:p>
            <w:pPr>
              <w:cnfStyle w:val="100000000000" w:firstRow="1" w:lastRow="0" w:firstColumn="0" w:lastColumn="0" w:oddVBand="0" w:evenVBand="0" w:oddHBand="0" w:evenHBand="0" w:firstRowFirstColumn="0" w:firstRowLastColumn="0" w:lastRowFirstColumn="0" w:lastRowLastColumn="0"/>
              <w:jc w:val="right"/>
            </w:pPr>
            <w:r>
              <w:rPr>
                <w:b/>
                <w:sz w:val="17"/>
              </w:rPr>
              <w:t>전체</w:t>
            </w:r>
            <w:r>
              <w:rPr>
                <w:lang w:eastAsia="ko-KR"/>
                <w:b/>
                <w:sz w:val="17"/>
                <w:rtl w:val="off"/>
              </w:rPr>
              <w:t>(line exact 평균)</w:t>
            </w:r>
          </w:p>
        </w:tc>
        <w:tc>
          <w:tcPr>
            <w:tcW w:w="1234" w:type="dxa"/>
          </w:tcPr>
          <w:p>
            <w:pPr>
              <w:cnfStyle w:val="100000000000" w:firstRow="1" w:lastRow="0" w:firstColumn="0" w:lastColumn="0" w:oddVBand="0" w:evenVBand="0" w:oddHBand="0" w:evenHBand="0" w:firstRowFirstColumn="0" w:firstRowLastColumn="0" w:lastRowFirstColumn="0" w:lastRowLastColumn="0"/>
              <w:jc w:val="right"/>
            </w:pPr>
            <w:r>
              <w:rPr>
                <w:b/>
                <w:sz w:val="17"/>
              </w:rPr>
              <w:t>CER</w:t>
            </w:r>
          </w:p>
        </w:tc>
      </w:tr>
      <w:tr>
        <w:trPr/>
        <w:tc>
          <w:tcPr>
            <w:cnfStyle w:val="001000000000" w:firstRow="0" w:lastRow="0" w:firstColumn="1" w:lastColumn="0" w:oddVBand="0" w:evenVBand="0" w:oddHBand="0" w:evenHBand="0" w:firstRowFirstColumn="0" w:firstRowLastColumn="0" w:lastRowFirstColumn="0" w:lastRowLastColumn="0"/>
            <w:tcW w:w="1234" w:type="dxa"/>
          </w:tcPr>
          <w:p>
            <w:r>
              <w:rPr>
                <w:sz w:val="17"/>
              </w:rPr>
              <w:t>SVTRv2-B 단독 (교정 없음)</w:t>
            </w:r>
          </w:p>
        </w:tc>
        <w:tc>
          <w:tcPr>
            <w:tcW w:w="1234" w:type="dxa"/>
          </w:tcPr>
          <w:p>
            <w:pPr>
              <w:jc w:val="right"/>
            </w:pPr>
            <w:r>
              <w:rPr>
                <w:sz w:val="17"/>
              </w:rPr>
              <w:t>없음 — 인식기 출력 그대로</w:t>
            </w:r>
          </w:p>
        </w:tc>
        <w:tc>
          <w:tcPr>
            <w:tcW w:w="1234" w:type="dxa"/>
          </w:tcPr>
          <w:p>
            <w:pPr>
              <w:jc w:val="right"/>
            </w:pPr>
            <w:r>
              <w:rPr>
                <w:sz w:val="17"/>
              </w:rPr>
              <w:t>74.5</w:t>
            </w:r>
          </w:p>
        </w:tc>
        <w:tc>
          <w:tcPr>
            <w:tcW w:w="1234" w:type="dxa"/>
          </w:tcPr>
          <w:p>
            <w:pPr>
              <w:jc w:val="right"/>
            </w:pPr>
            <w:r>
              <w:rPr>
                <w:sz w:val="17"/>
              </w:rPr>
              <w:t>78.9</w:t>
            </w:r>
          </w:p>
        </w:tc>
        <w:tc>
          <w:tcPr>
            <w:tcW w:w="1234" w:type="dxa"/>
          </w:tcPr>
          <w:p>
            <w:pPr>
              <w:jc w:val="right"/>
            </w:pPr>
            <w:r>
              <w:rPr>
                <w:sz w:val="17"/>
              </w:rPr>
              <w:t>72.9</w:t>
            </w:r>
          </w:p>
        </w:tc>
        <w:tc>
          <w:tcPr>
            <w:tcW w:w="1234" w:type="dxa"/>
          </w:tcPr>
          <w:p>
            <w:pPr>
              <w:jc w:val="right"/>
            </w:pPr>
            <w:r>
              <w:rPr>
                <w:sz w:val="17"/>
              </w:rPr>
              <w:t>75.5%</w:t>
            </w:r>
          </w:p>
        </w:tc>
        <w:tc>
          <w:tcPr>
            <w:tcW w:w="1234" w:type="dxa"/>
          </w:tcPr>
          <w:p>
            <w:pPr>
              <w:jc w:val="right"/>
            </w:pPr>
            <w:r>
              <w:rPr>
                <w:sz w:val="17"/>
              </w:rPr>
              <w:t>0.147</w:t>
            </w:r>
          </w:p>
        </w:tc>
      </w:tr>
      <w:tr>
        <w:trPr/>
        <w:tc>
          <w:tcPr>
            <w:cnfStyle w:val="001000000000" w:firstRow="0" w:lastRow="0" w:firstColumn="1" w:lastColumn="0" w:oddVBand="0" w:evenVBand="0" w:oddHBand="0" w:evenHBand="0" w:firstRowFirstColumn="0" w:firstRowLastColumn="0" w:lastRowFirstColumn="0" w:lastRowLastColumn="0"/>
            <w:tcW w:w="1234" w:type="dxa"/>
          </w:tcPr>
          <w:p>
            <w:r>
              <w:rPr>
                <w:sz w:val="17"/>
              </w:rPr>
              <w:t>fixtext · Gemma 4 31B</w:t>
            </w:r>
          </w:p>
        </w:tc>
        <w:tc>
          <w:tcPr>
            <w:tcW w:w="1234" w:type="dxa"/>
          </w:tcPr>
          <w:p>
            <w:pPr>
              <w:jc w:val="right"/>
            </w:pPr>
            <w:r>
              <w:rPr>
                <w:sz w:val="17"/>
              </w:rPr>
              <w:t>OCR 텍스트만 (이미지 없음)</w:t>
            </w:r>
          </w:p>
        </w:tc>
        <w:tc>
          <w:tcPr>
            <w:tcW w:w="1234" w:type="dxa"/>
          </w:tcPr>
          <w:p>
            <w:pPr>
              <w:jc w:val="right"/>
            </w:pPr>
            <w:r>
              <w:rPr>
                <w:sz w:val="17"/>
              </w:rPr>
              <w:t>76.9</w:t>
            </w:r>
          </w:p>
        </w:tc>
        <w:tc>
          <w:tcPr>
            <w:tcW w:w="1234" w:type="dxa"/>
          </w:tcPr>
          <w:p>
            <w:pPr>
              <w:jc w:val="right"/>
            </w:pPr>
            <w:r>
              <w:rPr>
                <w:sz w:val="17"/>
              </w:rPr>
              <w:t>78.9</w:t>
            </w:r>
          </w:p>
        </w:tc>
        <w:tc>
          <w:tcPr>
            <w:tcW w:w="1234" w:type="dxa"/>
          </w:tcPr>
          <w:p>
            <w:pPr>
              <w:jc w:val="right"/>
            </w:pPr>
            <w:r>
              <w:rPr>
                <w:sz w:val="17"/>
              </w:rPr>
              <w:t>73.5</w:t>
            </w:r>
          </w:p>
        </w:tc>
        <w:tc>
          <w:tcPr>
            <w:tcW w:w="1234" w:type="dxa"/>
          </w:tcPr>
          <w:p>
            <w:pPr>
              <w:jc w:val="right"/>
            </w:pPr>
            <w:r>
              <w:rPr>
                <w:sz w:val="17"/>
              </w:rPr>
              <w:t>76.5%</w:t>
            </w:r>
          </w:p>
        </w:tc>
        <w:tc>
          <w:tcPr>
            <w:tcW w:w="1234" w:type="dxa"/>
          </w:tcPr>
          <w:p>
            <w:pPr>
              <w:jc w:val="right"/>
            </w:pPr>
            <w:r>
              <w:rPr>
                <w:sz w:val="17"/>
              </w:rPr>
              <w:t>0.149</w:t>
            </w:r>
          </w:p>
        </w:tc>
      </w:tr>
      <w:tr>
        <w:trPr/>
        <w:tc>
          <w:tcPr>
            <w:cnfStyle w:val="001000000000" w:firstRow="0" w:lastRow="0" w:firstColumn="1" w:lastColumn="0" w:oddVBand="0" w:evenVBand="0" w:oddHBand="0" w:evenHBand="0" w:firstRowFirstColumn="0" w:firstRowLastColumn="0" w:lastRowFirstColumn="0" w:lastRowLastColumn="0"/>
            <w:tcW w:w="1234" w:type="dxa"/>
          </w:tcPr>
          <w:p>
            <w:r>
              <w:rPr>
                <w:sz w:val="17"/>
              </w:rPr>
              <w:t>fix · Gemma 4 31B</w:t>
            </w:r>
          </w:p>
        </w:tc>
        <w:tc>
          <w:tcPr>
            <w:tcW w:w="1234" w:type="dxa"/>
          </w:tcPr>
          <w:p>
            <w:pPr>
              <w:jc w:val="right"/>
            </w:pPr>
            <w:r>
              <w:rPr>
                <w:sz w:val="17"/>
              </w:rPr>
              <w:t>간판 이미지 + OCR 텍스트</w:t>
            </w:r>
          </w:p>
        </w:tc>
        <w:tc>
          <w:tcPr>
            <w:tcW w:w="1234" w:type="dxa"/>
          </w:tcPr>
          <w:p>
            <w:pPr>
              <w:jc w:val="right"/>
            </w:pPr>
            <w:r>
              <w:rPr>
                <w:sz w:val="17"/>
              </w:rPr>
              <w:t>82.5</w:t>
            </w:r>
          </w:p>
        </w:tc>
        <w:tc>
          <w:tcPr>
            <w:tcW w:w="1234" w:type="dxa"/>
          </w:tcPr>
          <w:p>
            <w:pPr>
              <w:jc w:val="right"/>
            </w:pPr>
            <w:r>
              <w:rPr>
                <w:sz w:val="17"/>
              </w:rPr>
              <w:t>88.4</w:t>
            </w:r>
          </w:p>
        </w:tc>
        <w:tc>
          <w:tcPr>
            <w:tcW w:w="1234" w:type="dxa"/>
          </w:tcPr>
          <w:p>
            <w:pPr>
              <w:jc w:val="right"/>
            </w:pPr>
            <w:r>
              <w:rPr>
                <w:sz w:val="17"/>
              </w:rPr>
              <w:t>79.0</w:t>
            </w:r>
          </w:p>
        </w:tc>
        <w:tc>
          <w:tcPr>
            <w:tcW w:w="1234" w:type="dxa"/>
          </w:tcPr>
          <w:p>
            <w:pPr>
              <w:jc w:val="right"/>
            </w:pPr>
            <w:r>
              <w:rPr>
                <w:sz w:val="17"/>
              </w:rPr>
              <w:t>83.4%</w:t>
            </w:r>
          </w:p>
        </w:tc>
        <w:tc>
          <w:tcPr>
            <w:tcW w:w="1234" w:type="dxa"/>
          </w:tcPr>
          <w:p>
            <w:pPr>
              <w:jc w:val="right"/>
            </w:pPr>
            <w:r>
              <w:rPr>
                <w:sz w:val="17"/>
              </w:rPr>
              <w:t>0.128</w:t>
            </w:r>
          </w:p>
        </w:tc>
      </w:tr>
      <w:tr>
        <w:trPr/>
        <w:tc>
          <w:tcPr>
            <w:cnfStyle w:val="001000000000" w:firstRow="0" w:lastRow="0" w:firstColumn="1" w:lastColumn="0" w:oddVBand="0" w:evenVBand="0" w:oddHBand="0" w:evenHBand="0" w:firstRowFirstColumn="0" w:firstRowLastColumn="0" w:lastRowFirstColumn="0" w:lastRowLastColumn="0"/>
            <w:tcW w:w="1234" w:type="dxa"/>
          </w:tcPr>
          <w:p>
            <w:r>
              <w:rPr>
                <w:sz w:val="17"/>
              </w:rPr>
              <w:t>fixtext · Qwen3-VL 32B</w:t>
            </w:r>
          </w:p>
        </w:tc>
        <w:tc>
          <w:tcPr>
            <w:tcW w:w="1234" w:type="dxa"/>
          </w:tcPr>
          <w:p>
            <w:pPr>
              <w:jc w:val="right"/>
            </w:pPr>
            <w:r>
              <w:rPr>
                <w:sz w:val="17"/>
              </w:rPr>
              <w:t>OCR 텍스트만 (이미지 없음)</w:t>
            </w:r>
          </w:p>
        </w:tc>
        <w:tc>
          <w:tcPr>
            <w:tcW w:w="1234" w:type="dxa"/>
          </w:tcPr>
          <w:p>
            <w:pPr>
              <w:jc w:val="right"/>
            </w:pPr>
            <w:r>
              <w:rPr>
                <w:sz w:val="17"/>
              </w:rPr>
              <w:t>74.5</w:t>
            </w:r>
          </w:p>
        </w:tc>
        <w:tc>
          <w:tcPr>
            <w:tcW w:w="1234" w:type="dxa"/>
          </w:tcPr>
          <w:p>
            <w:pPr>
              <w:jc w:val="right"/>
            </w:pPr>
            <w:r>
              <w:rPr>
                <w:sz w:val="17"/>
              </w:rPr>
              <w:t>82.4</w:t>
            </w:r>
          </w:p>
        </w:tc>
        <w:tc>
          <w:tcPr>
            <w:tcW w:w="1234" w:type="dxa"/>
          </w:tcPr>
          <w:p>
            <w:pPr>
              <w:jc w:val="right"/>
            </w:pPr>
            <w:r>
              <w:rPr>
                <w:sz w:val="17"/>
              </w:rPr>
              <w:t>72.4</w:t>
            </w:r>
          </w:p>
        </w:tc>
        <w:tc>
          <w:tcPr>
            <w:tcW w:w="1234" w:type="dxa"/>
          </w:tcPr>
          <w:p>
            <w:pPr>
              <w:jc w:val="right"/>
            </w:pPr>
            <w:r>
              <w:rPr>
                <w:sz w:val="17"/>
              </w:rPr>
              <w:t>76.5%</w:t>
            </w:r>
          </w:p>
        </w:tc>
        <w:tc>
          <w:tcPr>
            <w:tcW w:w="1234" w:type="dxa"/>
          </w:tcPr>
          <w:p>
            <w:pPr>
              <w:jc w:val="right"/>
            </w:pPr>
            <w:r>
              <w:rPr>
                <w:sz w:val="17"/>
              </w:rPr>
              <w:t>0.144</w:t>
            </w:r>
          </w:p>
        </w:tc>
      </w:tr>
      <w:tr>
        <w:trPr/>
        <w:tc>
          <w:tcPr>
            <w:cnfStyle w:val="001000000000" w:firstRow="0" w:lastRow="0" w:firstColumn="1" w:lastColumn="0" w:oddVBand="0" w:evenVBand="0" w:oddHBand="0" w:evenHBand="0" w:firstRowFirstColumn="0" w:firstRowLastColumn="0" w:lastRowFirstColumn="0" w:lastRowLastColumn="0"/>
            <w:tcW w:w="1234" w:type="dxa"/>
          </w:tcPr>
          <w:p>
            <w:r>
              <w:rPr>
                <w:sz w:val="17"/>
              </w:rPr>
              <w:t>fix · Qwen3-VL 32B</w:t>
            </w:r>
          </w:p>
        </w:tc>
        <w:tc>
          <w:tcPr>
            <w:tcW w:w="1234" w:type="dxa"/>
          </w:tcPr>
          <w:p>
            <w:pPr>
              <w:jc w:val="right"/>
            </w:pPr>
            <w:r>
              <w:rPr>
                <w:sz w:val="17"/>
              </w:rPr>
              <w:t>간판 이미지 + OCR 텍스트</w:t>
            </w:r>
          </w:p>
        </w:tc>
        <w:tc>
          <w:tcPr>
            <w:tcW w:w="1234" w:type="dxa"/>
          </w:tcPr>
          <w:p>
            <w:pPr>
              <w:jc w:val="right"/>
            </w:pPr>
            <w:r>
              <w:rPr>
                <w:sz w:val="17"/>
              </w:rPr>
              <w:t>80.7</w:t>
            </w:r>
          </w:p>
        </w:tc>
        <w:tc>
          <w:tcPr>
            <w:tcW w:w="1234" w:type="dxa"/>
          </w:tcPr>
          <w:p>
            <w:pPr>
              <w:jc w:val="right"/>
            </w:pPr>
            <w:r>
              <w:rPr>
                <w:sz w:val="17"/>
              </w:rPr>
              <w:t>87.9</w:t>
            </w:r>
          </w:p>
        </w:tc>
        <w:tc>
          <w:tcPr>
            <w:tcW w:w="1234" w:type="dxa"/>
          </w:tcPr>
          <w:p>
            <w:pPr>
              <w:jc w:val="right"/>
            </w:pPr>
            <w:r>
              <w:rPr>
                <w:sz w:val="17"/>
              </w:rPr>
              <w:t>79.6</w:t>
            </w:r>
          </w:p>
        </w:tc>
        <w:tc>
          <w:tcPr>
            <w:tcW w:w="1234" w:type="dxa"/>
          </w:tcPr>
          <w:p>
            <w:pPr>
              <w:jc w:val="right"/>
            </w:pPr>
            <w:r>
              <w:rPr>
                <w:sz w:val="17"/>
              </w:rPr>
              <w:t>82.8%</w:t>
            </w:r>
          </w:p>
        </w:tc>
        <w:tc>
          <w:tcPr>
            <w:tcW w:w="1234" w:type="dxa"/>
          </w:tcPr>
          <w:p>
            <w:pPr>
              <w:jc w:val="right"/>
            </w:pPr>
            <w:r>
              <w:rPr>
                <w:sz w:val="17"/>
              </w:rPr>
              <w:t>0.133</w:t>
            </w:r>
          </w:p>
        </w:tc>
      </w:tr>
    </w:tbl>
    <w:p>
      <w:pPr>
        <w:spacing w:after="40"/>
      </w:pPr>
      <w:r>
        <w:rPr>
          <w:rFonts w:ascii="맑은 고딕" w:hAnsi="맑은 고딕" w:eastAsia="맑은 고딕"/>
          <w:b w:val="0"/>
          <w:i w:val="0"/>
          <w:sz w:val="21"/>
        </w:rPr>
      </w:r>
    </w:p>
    <w:p>
      <w:pPr>
        <w:spacing w:after="80"/>
      </w:pPr>
      <w:r>
        <w:rPr>
          <w:rFonts w:ascii="맑은 고딕" w:hAnsi="맑은 고딕" w:eastAsia="맑은 고딕"/>
          <w:b/>
          <w:i w:val="0"/>
          <w:sz w:val="21"/>
        </w:rPr>
        <w:t>4.6 전체 파이프라인</w:t>
      </w:r>
    </w:p>
    <w:p>
      <w:pPr>
        <w:spacing w:after="80"/>
      </w:pPr>
      <w:r>
        <w:rPr>
          <w:rFonts w:ascii="맑은 고딕" w:hAnsi="맑은 고딕" w:eastAsia="맑은 고딕"/>
          <w:b w:val="0"/>
          <w:i w:val="0"/>
          <w:sz w:val="21"/>
        </w:rPr>
        <w:t>표 5는 사진 한 장에서 시작해 간판 검출부터 업종 태깅까지 한 번에 실행한 결과이다. 간판 검출은 정답 간판 453개 중 374개를 찾았고(TP) 79개를 놓쳤으며(FN), 정답과 매칭되지 않는 검출이 96개(FP) 있었다. 올바르게 검출된 간판에서 OCR+VLM 의 line exact는 파이프라인 A 77.2%, B 75.1%로, 간판 검출이 완벽하다고 가정한 경우(83.6%, 82.4%)보다 각각 6.4%p, 7.3%p 낮았다. 이 차이는 검출된 간판 박스의 경계가 정답과 달라 생긴 손실이다. 업종 태깅 정확도는 A 84.9%, B 85.5%였다. 사진 단위 부트스트랩으로 계산한 A와 B의 차이는 OCR +2.1%p [−0.4, +4.4], 태깅 −0.6%p [−2.8, +1.6]로 모두 0을 포함해, 두 파이프라인은 같은 성능으로 판단된다.</w:t>
      </w:r>
    </w:p>
    <w:p>
      <w:pPr>
        <w:spacing w:after="80"/>
      </w:pPr>
      <w:r>
        <w:rPr>
          <w:rFonts w:ascii="맑은 고딕" w:hAnsi="맑은 고딕" w:eastAsia="맑은 고딕"/>
          <w:b w:val="0"/>
          <w:i w:val="0"/>
          <w:sz w:val="21"/>
        </w:rPr>
        <w:t>FP 96개 중 69개(A), 67개(B)에 업종 태그가 붙었다. 다만 이 검출들을 육안으로 확인한 결과 상당수가 정답 라벨에 빠진 실제 간판이었으므로, 이 값은 지도에 잘못 등록될 수 있는 항목 수를 과대 추정한 것이다.</w:t>
      </w:r>
    </w:p>
    <w:p>
      <w:r>
        <w:rPr>
          <w:b/>
          <w:sz w:val="22"/>
        </w:rPr>
        <w:t>표 5. 전체 파이프라인(end-to-end), 구성 A·B: GSV 사진 → 간판 검출 → 단어 검출 → SVTRv2-B → Gemma 4 31B fix → Gemma 4 31B 태깅 (사진 298장; OCR 행은 line exact % / CER, 태깅 행은 정확도 %, 허위 POI 는 건수)</w:t>
      </w:r>
    </w:p>
    <w:tbl>
      <w:tblPr>
        <w:tblStyle w:val="af9"/>
        <w:tblW w:w="9936" w:type="dxa"/>
        <w:tblLook w:val="04A0" w:firstRow="1" w:lastRow="0" w:firstColumn="1" w:lastColumn="0" w:noHBand="0" w:noVBand="1"/>
        <w:tblLayout w:type="fixed"/>
      </w:tblPr>
      <w:tblGrid>
        <w:gridCol w:w="1440"/>
        <w:gridCol w:w="2880"/>
        <w:gridCol w:w="1512"/>
        <w:gridCol w:w="1512"/>
        <w:gridCol w:w="1512"/>
        <w:gridCol w:w="1656"/>
      </w:tblGrid>
      <w:tr>
        <w:tc>
          <w:tcPr>
            <w:tcW w:w="1440" w:type="dxa"/>
          </w:tcPr>
          <w:p>
            <w:r>
              <w:rPr>
                <w:b/>
                <w:sz w:val="17"/>
              </w:rPr>
              <w:t>구성</w:t>
            </w:r>
          </w:p>
        </w:tc>
        <w:tc>
          <w:tcPr>
            <w:tcW w:w="2880" w:type="dxa"/>
          </w:tcPr>
          <w:p>
            <w:r>
              <w:rPr>
                <w:b/>
                <w:sz w:val="17"/>
              </w:rPr>
              <w:t>단계 / 지표</w:t>
            </w:r>
          </w:p>
        </w:tc>
        <w:tc>
          <w:tcPr>
            <w:tcW w:w="1512" w:type="dxa"/>
          </w:tcPr>
          <w:p>
            <w:pPr>
              <w:jc w:val="right"/>
            </w:pPr>
            <w:r>
              <w:rPr>
                <w:b/>
                <w:sz w:val="17"/>
              </w:rPr>
              <w:t>강남</w:t>
            </w:r>
          </w:p>
        </w:tc>
        <w:tc>
          <w:tcPr>
            <w:tcW w:w="1512" w:type="dxa"/>
          </w:tcPr>
          <w:p>
            <w:pPr>
              <w:jc w:val="right"/>
            </w:pPr>
            <w:r>
              <w:rPr>
                <w:b/>
                <w:sz w:val="17"/>
              </w:rPr>
              <w:t>브루클린</w:t>
            </w:r>
          </w:p>
        </w:tc>
        <w:tc>
          <w:tcPr>
            <w:tcW w:w="1512" w:type="dxa"/>
          </w:tcPr>
          <w:p>
            <w:pPr>
              <w:jc w:val="right"/>
            </w:pPr>
            <w:r>
              <w:rPr>
                <w:b/>
                <w:sz w:val="17"/>
              </w:rPr>
              <w:t>수원</w:t>
            </w:r>
          </w:p>
        </w:tc>
        <w:tc>
          <w:tcPr>
            <w:tcW w:w="1656" w:type="dxa"/>
          </w:tcPr>
          <w:p>
            <w:pPr>
              <w:jc w:val="right"/>
            </w:pPr>
            <w:r>
              <w:rPr>
                <w:b/>
                <w:sz w:val="17"/>
              </w:rPr>
              <w:t>전체</w:t>
            </w:r>
          </w:p>
        </w:tc>
      </w:tr>
      <w:tr>
        <w:tc>
          <w:tcPr>
            <w:tcW w:w="1440" w:type="dxa"/>
          </w:tcPr>
          <w:p>
            <w:r>
              <w:rPr>
                <w:sz w:val="17"/>
              </w:rPr>
              <w:t>공통 1단계</w:t>
            </w:r>
          </w:p>
        </w:tc>
        <w:tc>
          <w:tcPr>
            <w:tcW w:w="2880" w:type="dxa"/>
          </w:tcPr>
          <w:p>
            <w:r>
              <w:rPr>
                <w:sz w:val="17"/>
              </w:rPr>
              <w:t>간판 검출 (YOLO26x, out-of-fold): TP / FN / FP (IoU ≥ 0.5)</w:t>
            </w:r>
          </w:p>
        </w:tc>
        <w:tc>
          <w:tcPr>
            <w:tcW w:w="1512" w:type="dxa"/>
          </w:tcPr>
          <w:p>
            <w:pPr>
              <w:jc w:val="right"/>
            </w:pPr>
            <w:r>
              <w:rPr>
                <w:sz w:val="17"/>
              </w:rPr>
              <w:t>116 / 29 / 37</w:t>
            </w:r>
          </w:p>
        </w:tc>
        <w:tc>
          <w:tcPr>
            <w:tcW w:w="1512" w:type="dxa"/>
          </w:tcPr>
          <w:p>
            <w:pPr>
              <w:jc w:val="right"/>
            </w:pPr>
            <w:r>
              <w:rPr>
                <w:sz w:val="17"/>
              </w:rPr>
              <w:t>142 / 25 / 26</w:t>
            </w:r>
          </w:p>
        </w:tc>
        <w:tc>
          <w:tcPr>
            <w:tcW w:w="1512" w:type="dxa"/>
          </w:tcPr>
          <w:p>
            <w:pPr>
              <w:jc w:val="right"/>
            </w:pPr>
            <w:r>
              <w:rPr>
                <w:sz w:val="17"/>
              </w:rPr>
              <w:t>116 / 25 / 33</w:t>
            </w:r>
          </w:p>
        </w:tc>
        <w:tc>
          <w:tcPr>
            <w:tcW w:w="1656" w:type="dxa"/>
          </w:tcPr>
          <w:p>
            <w:pPr>
              <w:jc w:val="right"/>
            </w:pPr>
            <w:r>
              <w:rPr>
                <w:sz w:val="17"/>
              </w:rPr>
              <w:t>374 / 79 / 96</w:t>
            </w:r>
          </w:p>
        </w:tc>
      </w:tr>
      <w:tr>
        <w:tc>
          <w:tcPr>
            <w:tcW w:w="1440" w:type="dxa"/>
            <w:vMerge w:val="restart"/>
          </w:tcPr>
          <w:p>
            <w:r>
              <w:rPr>
                <w:sz w:val="17"/>
              </w:rPr>
              <w:t>파이프라인 A: YOLO26x 단어 검출기</w:t>
            </w:r>
          </w:p>
        </w:tc>
        <w:tc>
          <w:tcPr>
            <w:tcW w:w="2880" w:type="dxa"/>
          </w:tcPr>
          <w:p>
            <w:r>
              <w:rPr>
                <w:sz w:val="17"/>
              </w:rPr>
              <w:t>OCR + VLM line exact/CER — 올바르게 검출된 간판 (TP)</w:t>
            </w:r>
            <w:r>
              <w:rPr>
                <w:lang w:eastAsia="ko-KR"/>
                <w:sz w:val="17"/>
                <w:rtl w:val="off"/>
              </w:rPr>
            </w:r>
            <w:r>
              <w:rPr>
                <w:sz w:val="17"/>
              </w:rPr>
            </w:r>
          </w:p>
        </w:tc>
        <w:tc>
          <w:tcPr>
            <w:tcW w:w="1512" w:type="dxa"/>
          </w:tcPr>
          <w:p>
            <w:pPr>
              <w:jc w:val="right"/>
            </w:pPr>
            <w:r>
              <w:rPr>
                <w:sz w:val="17"/>
              </w:rPr>
              <w:t>77.1 / 0.257</w:t>
            </w:r>
            <w:r>
              <w:rPr/>
            </w:r>
          </w:p>
        </w:tc>
        <w:tc>
          <w:tcPr>
            <w:tcW w:w="1512" w:type="dxa"/>
          </w:tcPr>
          <w:p>
            <w:pPr>
              <w:jc w:val="right"/>
            </w:pPr>
            <w:r>
              <w:rPr>
                <w:sz w:val="17"/>
              </w:rPr>
              <w:t>76.5 / 0.178</w:t>
            </w:r>
            <w:r>
              <w:rPr/>
            </w:r>
          </w:p>
        </w:tc>
        <w:tc>
          <w:tcPr>
            <w:tcW w:w="1512" w:type="dxa"/>
          </w:tcPr>
          <w:p>
            <w:pPr>
              <w:jc w:val="right"/>
            </w:pPr>
            <w:r>
              <w:rPr>
                <w:sz w:val="17"/>
              </w:rPr>
              <w:t>78.1 / 0.292</w:t>
            </w:r>
            <w:r>
              <w:rPr/>
            </w:r>
          </w:p>
        </w:tc>
        <w:tc>
          <w:tcPr>
            <w:tcW w:w="1656" w:type="dxa"/>
          </w:tcPr>
          <w:p>
            <w:pPr>
              <w:jc w:val="right"/>
            </w:pPr>
            <w:r>
              <w:rPr>
                <w:sz w:val="17"/>
              </w:rPr>
              <w:t>77.2% / 0.223</w:t>
            </w:r>
            <w:r>
              <w:rPr/>
            </w:r>
          </w:p>
        </w:tc>
      </w:tr>
      <w:tr>
        <w:tc>
          <w:tcPr>
            <w:tcW w:w="1234" w:type="dxa"/>
            <w:vMerge w:val="continue"/>
          </w:tcPr>
          <w:p/>
        </w:tc>
        <w:tc>
          <w:tcPr>
            <w:tcW w:w="2880" w:type="dxa"/>
          </w:tcPr>
          <w:p>
            <w:r>
              <w:rPr>
                <w:sz w:val="17"/>
              </w:rPr>
              <w:t>OCR + VLM line exact/CER — GT(간판 검출 완벽 가정)</w:t>
            </w:r>
            <w:r>
              <w:rPr>
                <w:lang w:eastAsia="ko-KR"/>
                <w:sz w:val="17"/>
                <w:rtl w:val="off"/>
              </w:rPr>
            </w:r>
            <w:r>
              <w:rPr>
                <w:sz w:val="17"/>
              </w:rPr>
            </w:r>
            <w:r>
              <w:rPr>
                <w:lang w:eastAsia="ko-KR"/>
                <w:sz w:val="17"/>
                <w:rtl w:val="off"/>
              </w:rPr>
            </w:r>
            <w:r>
              <w:rPr>
                <w:sz w:val="17"/>
              </w:rPr>
            </w:r>
            <w:r>
              <w:rPr>
                <w:lang w:eastAsia="ko-KR"/>
                <w:sz w:val="17"/>
                <w:rtl w:val="off"/>
              </w:rPr>
            </w:r>
          </w:p>
        </w:tc>
        <w:tc>
          <w:tcPr>
            <w:tcW w:w="1512" w:type="dxa"/>
          </w:tcPr>
          <w:p>
            <w:pPr>
              <w:jc w:val="right"/>
            </w:pPr>
            <w:r>
              <w:rPr>
                <w:sz w:val="17"/>
              </w:rPr>
              <w:t>83.0 / 0.157</w:t>
            </w:r>
            <w:r>
              <w:rPr/>
            </w:r>
          </w:p>
        </w:tc>
        <w:tc>
          <w:tcPr>
            <w:tcW w:w="1512" w:type="dxa"/>
          </w:tcPr>
          <w:p>
            <w:pPr>
              <w:jc w:val="right"/>
            </w:pPr>
            <w:r>
              <w:rPr>
                <w:sz w:val="17"/>
              </w:rPr>
              <w:t>88.7 / 0.082</w:t>
            </w:r>
            <w:r>
              <w:rPr/>
            </w:r>
          </w:p>
        </w:tc>
        <w:tc>
          <w:tcPr>
            <w:tcW w:w="1512" w:type="dxa"/>
          </w:tcPr>
          <w:p>
            <w:pPr>
              <w:jc w:val="right"/>
            </w:pPr>
            <w:r>
              <w:rPr>
                <w:sz w:val="17"/>
              </w:rPr>
              <w:t>79.0 / 0.163</w:t>
            </w:r>
            <w:r>
              <w:rPr/>
            </w:r>
          </w:p>
        </w:tc>
        <w:tc>
          <w:tcPr>
            <w:tcW w:w="1656" w:type="dxa"/>
          </w:tcPr>
          <w:p>
            <w:pPr>
              <w:jc w:val="right"/>
            </w:pPr>
            <w:r>
              <w:rPr>
                <w:sz w:val="17"/>
              </w:rPr>
              <w:t>83.6% / 0.121</w:t>
            </w:r>
            <w:r>
              <w:rPr/>
            </w:r>
          </w:p>
        </w:tc>
      </w:tr>
      <w:tr>
        <w:tc>
          <w:tcPr>
            <w:tcW w:w="1234" w:type="dxa"/>
            <w:vMerge w:val="continue"/>
          </w:tcPr>
          <w:p/>
        </w:tc>
        <w:tc>
          <w:tcPr>
            <w:tcW w:w="2880" w:type="dxa"/>
          </w:tcPr>
          <w:p>
            <w:r>
              <w:rPr>
                <w:sz w:val="17"/>
              </w:rPr>
              <w:t>태깅 정확도 — 올바르게 검출된 간판 (TP)</w:t>
            </w:r>
            <w:r>
              <w:rPr>
                <w:lang w:eastAsia="ko-KR"/>
                <w:sz w:val="17"/>
                <w:rtl w:val="off"/>
              </w:rPr>
            </w:r>
            <w:r>
              <w:rPr>
                <w:sz w:val="17"/>
              </w:rPr>
            </w:r>
          </w:p>
        </w:tc>
        <w:tc>
          <w:tcPr>
            <w:tcW w:w="1512" w:type="dxa"/>
          </w:tcPr>
          <w:p>
            <w:pPr>
              <w:jc w:val="right"/>
            </w:pPr>
            <w:r>
              <w:rPr>
                <w:sz w:val="17"/>
              </w:rPr>
              <w:t>88.0</w:t>
            </w:r>
            <w:r>
              <w:rPr/>
            </w:r>
          </w:p>
        </w:tc>
        <w:tc>
          <w:tcPr>
            <w:tcW w:w="1512" w:type="dxa"/>
          </w:tcPr>
          <w:p>
            <w:pPr>
              <w:jc w:val="right"/>
            </w:pPr>
            <w:r>
              <w:rPr>
                <w:sz w:val="17"/>
              </w:rPr>
              <w:t>81.1</w:t>
            </w:r>
            <w:r>
              <w:rPr/>
            </w:r>
          </w:p>
        </w:tc>
        <w:tc>
          <w:tcPr>
            <w:tcW w:w="1512" w:type="dxa"/>
          </w:tcPr>
          <w:p>
            <w:pPr>
              <w:jc w:val="right"/>
            </w:pPr>
            <w:r>
              <w:rPr>
                <w:sz w:val="17"/>
              </w:rPr>
              <w:t>85.6</w:t>
            </w:r>
            <w:r>
              <w:rPr/>
            </w:r>
          </w:p>
        </w:tc>
        <w:tc>
          <w:tcPr>
            <w:tcW w:w="1656" w:type="dxa"/>
          </w:tcPr>
          <w:p>
            <w:pPr>
              <w:jc w:val="right"/>
            </w:pPr>
            <w:r>
              <w:rPr>
                <w:sz w:val="17"/>
              </w:rPr>
              <w:t>84.9%</w:t>
            </w:r>
            <w:r>
              <w:rPr/>
            </w:r>
          </w:p>
        </w:tc>
      </w:tr>
      <w:tr>
        <w:tc>
          <w:tcPr>
            <w:tcW w:w="1234" w:type="dxa"/>
            <w:vMerge w:val="continue"/>
          </w:tcPr>
          <w:p/>
        </w:tc>
        <w:tc>
          <w:tcPr>
            <w:tcW w:w="2880" w:type="dxa"/>
          </w:tcPr>
          <w:p>
            <w:r>
              <w:rPr>
                <w:sz w:val="17"/>
              </w:rPr>
              <w:t>허위 POI — 정답과 매칭되지 않은 검출(FP) 중 업종 태그가 붙은 것</w:t>
            </w:r>
          </w:p>
        </w:tc>
        <w:tc>
          <w:tcPr>
            <w:tcW w:w="1512" w:type="dxa"/>
          </w:tcPr>
          <w:p>
            <w:pPr>
              <w:jc w:val="right"/>
            </w:pPr>
            <w:r>
              <w:rPr>
                <w:sz w:val="17"/>
              </w:rPr>
              <w:t>26 / 37</w:t>
            </w:r>
          </w:p>
        </w:tc>
        <w:tc>
          <w:tcPr>
            <w:tcW w:w="1512" w:type="dxa"/>
          </w:tcPr>
          <w:p>
            <w:pPr>
              <w:jc w:val="right"/>
            </w:pPr>
            <w:r>
              <w:rPr>
                <w:sz w:val="17"/>
              </w:rPr>
              <w:t>19 / 26</w:t>
            </w:r>
          </w:p>
        </w:tc>
        <w:tc>
          <w:tcPr>
            <w:tcW w:w="1512" w:type="dxa"/>
          </w:tcPr>
          <w:p>
            <w:pPr>
              <w:jc w:val="right"/>
            </w:pPr>
            <w:r>
              <w:rPr>
                <w:sz w:val="17"/>
              </w:rPr>
              <w:t>24 / 33</w:t>
            </w:r>
          </w:p>
        </w:tc>
        <w:tc>
          <w:tcPr>
            <w:tcW w:w="1656" w:type="dxa"/>
          </w:tcPr>
          <w:p>
            <w:pPr>
              <w:jc w:val="right"/>
            </w:pPr>
            <w:r>
              <w:rPr>
                <w:sz w:val="17"/>
              </w:rPr>
              <w:t>69 / 96</w:t>
            </w:r>
          </w:p>
        </w:tc>
      </w:tr>
      <w:tr>
        <w:tc>
          <w:tcPr>
            <w:tcW w:w="1440" w:type="dxa"/>
            <w:vMerge w:val="restart"/>
          </w:tcPr>
          <w:p>
            <w:r>
              <w:rPr>
                <w:sz w:val="17"/>
              </w:rPr>
              <w:t>파이프라인 B: YOLOv5x 단어 검출기</w:t>
            </w:r>
          </w:p>
        </w:tc>
        <w:tc>
          <w:tcPr>
            <w:tcW w:w="2880" w:type="dxa"/>
          </w:tcPr>
          <w:p>
            <w:r>
              <w:rPr>
                <w:sz w:val="17"/>
              </w:rPr>
              <w:t>OCR + VLM line exact/CER  — 올바르게 검출된 간판 (TP)</w:t>
            </w:r>
            <w:r>
              <w:rPr>
                <w:lang w:eastAsia="ko-KR"/>
                <w:sz w:val="17"/>
                <w:rtl w:val="off"/>
              </w:rPr>
            </w:r>
            <w:r>
              <w:rPr>
                <w:sz w:val="17"/>
              </w:rPr>
            </w:r>
          </w:p>
        </w:tc>
        <w:tc>
          <w:tcPr>
            <w:tcW w:w="1512" w:type="dxa"/>
          </w:tcPr>
          <w:p>
            <w:pPr>
              <w:jc w:val="right"/>
            </w:pPr>
            <w:r>
              <w:rPr>
                <w:sz w:val="17"/>
              </w:rPr>
              <w:t>75.9 / 0.277</w:t>
            </w:r>
            <w:r>
              <w:rPr/>
            </w:r>
          </w:p>
        </w:tc>
        <w:tc>
          <w:tcPr>
            <w:tcW w:w="1512" w:type="dxa"/>
          </w:tcPr>
          <w:p>
            <w:pPr>
              <w:jc w:val="right"/>
            </w:pPr>
            <w:r>
              <w:rPr>
                <w:sz w:val="17"/>
              </w:rPr>
              <w:t>74.1 / 0.194</w:t>
            </w:r>
            <w:r>
              <w:rPr/>
            </w:r>
          </w:p>
        </w:tc>
        <w:tc>
          <w:tcPr>
            <w:tcW w:w="1512" w:type="dxa"/>
          </w:tcPr>
          <w:p>
            <w:pPr>
              <w:jc w:val="right"/>
            </w:pPr>
            <w:r>
              <w:rPr>
                <w:sz w:val="17"/>
              </w:rPr>
              <w:t>75.3 / 0.312</w:t>
            </w:r>
            <w:r>
              <w:rPr/>
            </w:r>
          </w:p>
        </w:tc>
        <w:tc>
          <w:tcPr>
            <w:tcW w:w="1656" w:type="dxa"/>
          </w:tcPr>
          <w:p>
            <w:pPr>
              <w:jc w:val="right"/>
            </w:pPr>
            <w:r>
              <w:rPr>
                <w:sz w:val="17"/>
              </w:rPr>
              <w:t>75.1% / 0.241</w:t>
            </w:r>
            <w:r>
              <w:rPr/>
            </w:r>
          </w:p>
        </w:tc>
      </w:tr>
      <w:tr>
        <w:tc>
          <w:tcPr>
            <w:tcW w:w="1234" w:type="dxa"/>
            <w:vMerge w:val="continue"/>
          </w:tcPr>
          <w:p/>
        </w:tc>
        <w:tc>
          <w:tcPr>
            <w:tcW w:w="2880" w:type="dxa"/>
          </w:tcPr>
          <w:p>
            <w:r>
              <w:rPr>
                <w:sz w:val="17"/>
              </w:rPr>
              <w:t>OCR + VLM line exact/CER  — GT 간판 (검출 완벽 가정)</w:t>
            </w:r>
            <w:r>
              <w:rPr>
                <w:lang w:eastAsia="ko-KR"/>
                <w:sz w:val="17"/>
                <w:rtl w:val="off"/>
              </w:rPr>
            </w:r>
            <w:r>
              <w:rPr>
                <w:sz w:val="17"/>
              </w:rPr>
            </w:r>
          </w:p>
        </w:tc>
        <w:tc>
          <w:tcPr>
            <w:tcW w:w="1512" w:type="dxa"/>
          </w:tcPr>
          <w:p>
            <w:pPr>
              <w:jc w:val="right"/>
            </w:pPr>
            <w:r>
              <w:rPr>
                <w:sz w:val="17"/>
              </w:rPr>
              <w:t>83.5 / 0.178</w:t>
            </w:r>
            <w:r>
              <w:rPr/>
            </w:r>
          </w:p>
        </w:tc>
        <w:tc>
          <w:tcPr>
            <w:tcW w:w="1512" w:type="dxa"/>
          </w:tcPr>
          <w:p>
            <w:pPr>
              <w:jc w:val="right"/>
            </w:pPr>
            <w:r>
              <w:rPr>
                <w:sz w:val="17"/>
              </w:rPr>
              <w:t>85.6 / 0.084</w:t>
            </w:r>
            <w:r>
              <w:rPr/>
            </w:r>
          </w:p>
        </w:tc>
        <w:tc>
          <w:tcPr>
            <w:tcW w:w="1512" w:type="dxa"/>
          </w:tcPr>
          <w:p>
            <w:pPr>
              <w:jc w:val="right"/>
            </w:pPr>
            <w:r>
              <w:rPr>
                <w:sz w:val="17"/>
              </w:rPr>
              <w:t>77.9 / 0.188</w:t>
            </w:r>
            <w:r>
              <w:rPr/>
            </w:r>
          </w:p>
        </w:tc>
        <w:tc>
          <w:tcPr>
            <w:tcW w:w="1656" w:type="dxa"/>
          </w:tcPr>
          <w:p>
            <w:pPr>
              <w:jc w:val="right"/>
            </w:pPr>
            <w:r>
              <w:rPr>
                <w:sz w:val="17"/>
              </w:rPr>
              <w:t>82.4% / 0.133</w:t>
            </w:r>
            <w:r>
              <w:rPr/>
            </w:r>
          </w:p>
        </w:tc>
      </w:tr>
      <w:tr>
        <w:tc>
          <w:tcPr>
            <w:tcW w:w="1234" w:type="dxa"/>
            <w:vMerge w:val="continue"/>
          </w:tcPr>
          <w:p/>
        </w:tc>
        <w:tc>
          <w:tcPr>
            <w:tcW w:w="2880" w:type="dxa"/>
          </w:tcPr>
          <w:p>
            <w:r>
              <w:rPr>
                <w:sz w:val="17"/>
              </w:rPr>
              <w:t>태깅 정확도 — 올바르게 검출된 간판 (TP)</w:t>
            </w:r>
            <w:r>
              <w:rPr>
                <w:lang w:eastAsia="ko-KR"/>
                <w:sz w:val="17"/>
                <w:rtl w:val="off"/>
              </w:rPr>
            </w:r>
            <w:r>
              <w:rPr>
                <w:sz w:val="17"/>
              </w:rPr>
            </w:r>
            <w:r>
              <w:rPr>
                <w:lang w:eastAsia="ko-KR"/>
                <w:sz w:val="17"/>
                <w:rtl w:val="off"/>
              </w:rPr>
            </w:r>
            <w:r>
              <w:rPr>
                <w:sz w:val="17"/>
              </w:rPr>
            </w:r>
          </w:p>
        </w:tc>
        <w:tc>
          <w:tcPr>
            <w:tcW w:w="1512" w:type="dxa"/>
          </w:tcPr>
          <w:p>
            <w:pPr>
              <w:jc w:val="right"/>
            </w:pPr>
            <w:r>
              <w:rPr>
                <w:sz w:val="17"/>
              </w:rPr>
              <w:t>88.0</w:t>
            </w:r>
            <w:r>
              <w:rPr/>
            </w:r>
          </w:p>
        </w:tc>
        <w:tc>
          <w:tcPr>
            <w:tcW w:w="1512" w:type="dxa"/>
          </w:tcPr>
          <w:p>
            <w:pPr>
              <w:jc w:val="right"/>
            </w:pPr>
            <w:r>
              <w:rPr>
                <w:sz w:val="17"/>
              </w:rPr>
              <w:t>81.1</w:t>
            </w:r>
            <w:r>
              <w:rPr/>
            </w:r>
          </w:p>
        </w:tc>
        <w:tc>
          <w:tcPr>
            <w:tcW w:w="1512" w:type="dxa"/>
          </w:tcPr>
          <w:p>
            <w:pPr>
              <w:jc w:val="right"/>
            </w:pPr>
            <w:r>
              <w:rPr>
                <w:sz w:val="17"/>
              </w:rPr>
              <w:t>87.5</w:t>
            </w:r>
            <w:r>
              <w:rPr/>
            </w:r>
          </w:p>
        </w:tc>
        <w:tc>
          <w:tcPr>
            <w:tcW w:w="1656" w:type="dxa"/>
          </w:tcPr>
          <w:p>
            <w:pPr>
              <w:jc w:val="right"/>
            </w:pPr>
            <w:r>
              <w:rPr>
                <w:sz w:val="17"/>
              </w:rPr>
              <w:t>85.5%</w:t>
            </w:r>
            <w:r>
              <w:rPr/>
            </w:r>
          </w:p>
        </w:tc>
      </w:tr>
      <w:tr>
        <w:tc>
          <w:tcPr>
            <w:tcW w:w="1234" w:type="dxa"/>
            <w:vMerge w:val="continue"/>
          </w:tcPr>
          <w:p/>
        </w:tc>
        <w:tc>
          <w:tcPr>
            <w:tcW w:w="2880" w:type="dxa"/>
          </w:tcPr>
          <w:p>
            <w:r>
              <w:rPr>
                <w:sz w:val="17"/>
              </w:rPr>
              <w:t>허위 POI — 정답과 매칭되지 않은 검출(FP) 중 업종 태그가 붙은 것</w:t>
            </w:r>
          </w:p>
        </w:tc>
        <w:tc>
          <w:tcPr>
            <w:tcW w:w="1512" w:type="dxa"/>
          </w:tcPr>
          <w:p>
            <w:pPr>
              <w:jc w:val="right"/>
            </w:pPr>
            <w:r>
              <w:rPr>
                <w:sz w:val="17"/>
              </w:rPr>
              <w:t>29 / 37</w:t>
            </w:r>
          </w:p>
        </w:tc>
        <w:tc>
          <w:tcPr>
            <w:tcW w:w="1512" w:type="dxa"/>
          </w:tcPr>
          <w:p>
            <w:pPr>
              <w:jc w:val="right"/>
            </w:pPr>
            <w:r>
              <w:rPr>
                <w:sz w:val="17"/>
              </w:rPr>
              <w:t>18 / 26</w:t>
            </w:r>
          </w:p>
        </w:tc>
        <w:tc>
          <w:tcPr>
            <w:tcW w:w="1512" w:type="dxa"/>
          </w:tcPr>
          <w:p>
            <w:pPr>
              <w:jc w:val="right"/>
            </w:pPr>
            <w:r>
              <w:rPr>
                <w:sz w:val="17"/>
              </w:rPr>
              <w:t>20 / 33</w:t>
            </w:r>
          </w:p>
        </w:tc>
        <w:tc>
          <w:tcPr>
            <w:tcW w:w="1656" w:type="dxa"/>
          </w:tcPr>
          <w:p>
            <w:pPr>
              <w:jc w:val="right"/>
            </w:pPr>
            <w:r>
              <w:rPr>
                <w:sz w:val="17"/>
              </w:rPr>
              <w:t>67 / 96</w:t>
            </w:r>
          </w:p>
        </w:tc>
      </w:tr>
    </w:tbl>
    <w:p>
      <w:pPr>
        <w:spacing w:after="40"/>
      </w:pPr>
      <w:r>
        <w:rPr>
          <w:rFonts w:ascii="맑은 고딕" w:hAnsi="맑은 고딕" w:eastAsia="맑은 고딕"/>
          <w:b w:val="0"/>
          <w:i w:val="0"/>
          <w:sz w:val="21"/>
        </w:rPr>
      </w:r>
    </w:p>
    <w:p>
      <w:pPr>
        <w:spacing w:after="120"/>
      </w:pPr>
      <w:r>
        <w:rPr>
          <w:rFonts w:ascii="맑은 고딕" w:hAnsi="맑은 고딕" w:eastAsia="맑은 고딕"/>
          <w:b/>
          <w:i w:val="0"/>
          <w:sz w:val="24"/>
        </w:rPr>
        <w:t>5. 결론</w:t>
      </w:r>
    </w:p>
    <w:p>
      <w:pPr>
        <w:spacing w:after="80"/>
      </w:pPr>
      <w:r>
        <w:rPr>
          <w:rFonts w:ascii="맑은 고딕" w:hAnsi="맑은 고딕" w:eastAsia="맑은 고딕"/>
          <w:b w:val="0"/>
          <w:i w:val="0"/>
          <w:sz w:val="21"/>
        </w:rPr>
        <w:t>본 연구는 GSV 간판에서 상호명과 업종을 추출해 OSM의 누락된 건물 속성을 보완하는 모듈형 프레임워크를 제안하고, 세 지역 298장의 이미지에서 모듈별 후보와 전체 파이프라인을 평가하였다. 간판 검출은 YOLO26x(AP@0.5 0.860), OCR은 SVTRv2-B (75.5%)가 가장 좋았고, 간판 이미지를 참조하는 VLM 교정으로 OCR 정확도가 약 7~8%p 향상되었다. 사진에서 태그까지의 연쇄 평가에서 업종 태깅 정확도는 두 파이프라인 모두 약 85%였다.</w:t>
      </w:r>
    </w:p>
    <w:p>
      <w:pPr>
        <w:spacing w:after="80"/>
      </w:pPr>
      <w:r>
        <w:rPr>
          <w:rFonts w:ascii="맑은 고딕" w:hAnsi="맑은 고딕" w:eastAsia="맑은 고딕"/>
          <w:b w:val="0"/>
          <w:i w:val="0"/>
          <w:sz w:val="21"/>
        </w:rPr>
        <w:t>한계로는 간판 정답 라벨의 일부 누락, 라인 병합 파라미터와 검출 임계값을 같은 GSV 데이터에서 정한 점, 그리고 OSM에 실제로 반영한 결과를 정량 평가하지 않은 점이 있다. 향후 누락 간판 라벨을 보강해 평가를 보완하고, 더 넓은 지역에 적용해 OSM 반영까지의 효과를 검증할 계획이다.</w:t>
      </w:r>
    </w:p>
    <w:p>
      <w:pPr>
        <w:spacing w:after="120"/>
      </w:pPr>
      <w:r>
        <w:rPr>
          <w:rFonts w:ascii="맑은 고딕" w:hAnsi="맑은 고딕" w:eastAsia="맑은 고딕"/>
          <w:b/>
          <w:i w:val="0"/>
          <w:sz w:val="24"/>
        </w:rPr>
        <w:t>참고문헌</w:t>
      </w:r>
    </w:p>
    <w:p>
      <w:pPr>
        <w:spacing w:after="80"/>
      </w:pPr>
      <w:r>
        <w:rPr>
          <w:rFonts w:ascii="맑은 고딕" w:hAnsi="맑은 고딕" w:eastAsia="맑은 고딕"/>
          <w:b w:val="0"/>
          <w:i w:val="0"/>
          <w:sz w:val="20"/>
        </w:rPr>
        <w:t>[참고문헌 작성 필요 — 기존 Appl. Sci. 투고본의 참고문헌과 아래 모델 원문에서 선택]</w:t>
      </w:r>
    </w:p>
    <w:p>
      <w:pPr>
        <w:spacing w:after="80"/>
      </w:pPr>
      <w:r>
        <w:rPr>
          <w:rFonts w:ascii="맑은 고딕" w:hAnsi="맑은 고딕" w:eastAsia="맑은 고딕"/>
          <w:b w:val="0"/>
          <w:i w:val="0"/>
          <w:sz w:val="20"/>
        </w:rPr>
        <w:t>· Faster R-CNN (Ren et al., NeurIPS 2015) · PARSeq (Bautista &amp; Atienza, ECCV 2022) · SVTRv2 (Du et al., 2024) · PaddleOCR · YOLOv5 · YOLO26 (Ultralytics) · Gemma 4 · Qwen3-VL · OpenStreetMap Wiki</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ourier">
    <w:charset w:val="00"/>
    <w:notTrueType w:val="false"/>
  </w:font>
  <w:font w:name="Symbol">
    <w:panose1 w:val="05050102010706020507"/>
    <w:family w:val="Symbol"/>
    <w:charset w:val="00"/>
    <w:notTrueType w:val="false"/>
    <w:sig w:usb0="00000001" w:usb1="00000001" w:usb2="00000001" w:usb3="00000001" w:csb0="80000000"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sz w:val="20"/>
    </w:rPr>
  </w:style>
  <w:style w:type="paragraph" w:styleId="1">
    <w:name w:val="heading 1"/>
    <w:uiPriority w:val="9"/>
    <w:basedOn w:val="a1"/>
    <w:next w:val="a1"/>
    <w:link w:val="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21">
    <w:name w:val="heading 2"/>
    <w:uiPriority w:val="9"/>
    <w:basedOn w:val="a1"/>
    <w:next w:val="a1"/>
    <w:link w:val="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31">
    <w:name w:val="heading 3"/>
    <w:uiPriority w:val="9"/>
    <w:basedOn w:val="a1"/>
    <w:next w:val="a1"/>
    <w:link w:val="3Char"/>
    <w:qFormat/>
    <w:unhideWhenUsed/>
    <w:pPr>
      <w:keepNext/>
      <w:keepLines/>
      <w:outlineLvl w:val="2"/>
      <w:spacing w:after="0" w:before="200"/>
    </w:pPr>
    <w:rPr>
      <w:rFonts w:asciiTheme="majorHAnsi" w:eastAsiaTheme="majorEastAsia" w:hAnsiTheme="majorHAnsi" w:cstheme="majorBidi"/>
      <w:b/>
      <w:bCs/>
      <w:color w:val="4F81BD"/>
    </w:rPr>
  </w:style>
  <w:style w:type="paragraph" w:styleId="4">
    <w:name w:val="heading 4"/>
    <w:uiPriority w:val="9"/>
    <w:basedOn w:val="a1"/>
    <w:next w:val="a1"/>
    <w:link w:val="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5">
    <w:name w:val="heading 5"/>
    <w:uiPriority w:val="9"/>
    <w:basedOn w:val="a1"/>
    <w:next w:val="a1"/>
    <w:link w:val="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6">
    <w:name w:val="heading 6"/>
    <w:uiPriority w:val="9"/>
    <w:basedOn w:val="a1"/>
    <w:next w:val="a1"/>
    <w:link w:val="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7">
    <w:name w:val="heading 7"/>
    <w:uiPriority w:val="9"/>
    <w:basedOn w:val="a1"/>
    <w:next w:val="a1"/>
    <w:link w:val="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8">
    <w:name w:val="heading 8"/>
    <w:uiPriority w:val="9"/>
    <w:basedOn w:val="a1"/>
    <w:next w:val="a1"/>
    <w:link w:val="8Char"/>
    <w:qFormat/>
    <w:semiHidden/>
    <w:unhideWhenUsed/>
    <w:pPr>
      <w:keepNext/>
      <w:keepLines/>
      <w:outlineLvl w:val="7"/>
      <w:spacing w:after="0" w:before="200"/>
    </w:pPr>
    <w:rPr>
      <w:rFonts w:asciiTheme="majorHAnsi" w:eastAsiaTheme="majorEastAsia" w:hAnsiTheme="majorHAnsi" w:cstheme="majorBidi"/>
      <w:color w:val="4F81BD"/>
      <w:szCs w:val="20"/>
    </w:rPr>
  </w:style>
  <w:style w:type="paragraph" w:styleId="9">
    <w:name w:val="heading 9"/>
    <w:uiPriority w:val="9"/>
    <w:basedOn w:val="a1"/>
    <w:next w:val="a1"/>
    <w:link w:val="9Char"/>
    <w:qFormat/>
    <w:semiHidden/>
    <w:unhideWhenUsed/>
    <w:pPr>
      <w:keepNext/>
      <w:keepLines/>
      <w:outlineLvl w:val="8"/>
      <w:spacing w:after="0" w:before="200"/>
    </w:pPr>
    <w:rPr>
      <w:rFonts w:asciiTheme="majorHAnsi" w:eastAsiaTheme="majorEastAsia" w:hAnsiTheme="majorHAnsi" w:cstheme="majorBidi"/>
      <w:i/>
      <w:iCs/>
      <w:color w:val="3F3F3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uiPriority w:val="99"/>
    <w:basedOn w:val="a1"/>
    <w:link w:val="Char"/>
    <w:unhideWhenUsed/>
    <w:pPr>
      <w:tabs>
        <w:tab w:val="center" w:pos="4680"/>
        <w:tab w:val="right" w:pos="9360"/>
      </w:tabs>
      <w:spacing w:after="0" w:line="240" w:lineRule="auto"/>
    </w:pPr>
  </w:style>
  <w:style w:type="character" w:customStyle="1" w:styleId="Char">
    <w:name w:val="머리글 Char"/>
    <w:uiPriority w:val="99"/>
    <w:basedOn w:val="a2"/>
    <w:link w:val="a5"/>
  </w:style>
  <w:style w:type="paragraph" w:styleId="a6">
    <w:name w:val="footer"/>
    <w:uiPriority w:val="99"/>
    <w:basedOn w:val="a1"/>
    <w:link w:val="Char0"/>
    <w:unhideWhenUsed/>
    <w:pPr>
      <w:tabs>
        <w:tab w:val="center" w:pos="4680"/>
        <w:tab w:val="right" w:pos="9360"/>
      </w:tabs>
      <w:spacing w:after="0" w:line="240" w:lineRule="auto"/>
    </w:pPr>
  </w:style>
  <w:style w:type="character" w:customStyle="1" w:styleId="Char0">
    <w:name w:val="바닥글 Char"/>
    <w:uiPriority w:val="99"/>
    <w:basedOn w:val="a2"/>
    <w:link w:val="a6"/>
  </w:style>
  <w:style w:type="paragraph" w:styleId="a7">
    <w:name w:val="No Spacing"/>
    <w:uiPriority w:val="1"/>
    <w:qFormat/>
    <w:pPr>
      <w:spacing w:after="0" w:line="240" w:lineRule="auto"/>
    </w:pPr>
  </w:style>
  <w:style w:type="character" w:customStyle="1" w:styleId="1Char">
    <w:name w:val="제목 1 Char"/>
    <w:uiPriority w:val="9"/>
    <w:basedOn w:val="a2"/>
    <w:link w:val="1"/>
    <w:rPr>
      <w:rFonts w:asciiTheme="majorHAnsi" w:eastAsiaTheme="majorEastAsia" w:hAnsiTheme="majorHAnsi" w:cstheme="majorBidi"/>
      <w:b/>
      <w:bCs/>
      <w:color w:val="376092"/>
      <w:sz w:val="28"/>
      <w:szCs w:val="28"/>
    </w:rPr>
  </w:style>
  <w:style w:type="character" w:customStyle="1" w:styleId="2Char">
    <w:name w:val="제목 2 Char"/>
    <w:uiPriority w:val="9"/>
    <w:basedOn w:val="a2"/>
    <w:link w:val="21"/>
    <w:rPr>
      <w:rFonts w:asciiTheme="majorHAnsi" w:eastAsiaTheme="majorEastAsia" w:hAnsiTheme="majorHAnsi" w:cstheme="majorBidi"/>
      <w:b/>
      <w:bCs/>
      <w:color w:val="4F81BD"/>
      <w:sz w:val="26"/>
      <w:szCs w:val="26"/>
    </w:rPr>
  </w:style>
  <w:style w:type="character" w:customStyle="1" w:styleId="3Char">
    <w:name w:val="제목 3 Char"/>
    <w:uiPriority w:val="9"/>
    <w:basedOn w:val="a2"/>
    <w:link w:val="31"/>
    <w:rPr>
      <w:rFonts w:asciiTheme="majorHAnsi" w:eastAsiaTheme="majorEastAsia" w:hAnsiTheme="majorHAnsi" w:cstheme="majorBidi"/>
      <w:b/>
      <w:bCs/>
      <w:color w:val="4F81BD"/>
    </w:rPr>
  </w:style>
  <w:style w:type="paragraph" w:styleId="a8">
    <w:name w:val="Title"/>
    <w:uiPriority w:val="10"/>
    <w:basedOn w:val="a1"/>
    <w:next w:val="a1"/>
    <w:link w:val="Char1"/>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Char1">
    <w:name w:val="제목 Char"/>
    <w:uiPriority w:val="10"/>
    <w:basedOn w:val="a2"/>
    <w:link w:val="a8"/>
    <w:rPr>
      <w:rFonts w:asciiTheme="majorHAnsi" w:eastAsiaTheme="majorEastAsia" w:hAnsiTheme="majorHAnsi" w:cstheme="majorBidi"/>
      <w:color w:val="17375E"/>
      <w:sz w:val="52"/>
      <w:szCs w:val="52"/>
      <w:kern w:val="28"/>
      <w:spacing w:val="5"/>
    </w:rPr>
  </w:style>
  <w:style w:type="paragraph" w:styleId="a9">
    <w:name w:val="Subtitle"/>
    <w:uiPriority w:val="11"/>
    <w:basedOn w:val="a1"/>
    <w:next w:val="a1"/>
    <w:link w:val="Char2"/>
    <w:qFormat/>
    <w:pPr>
      <w:numPr>
        <w:ilvl w:val="1"/>
      </w:numPr>
    </w:pPr>
    <w:rPr>
      <w:rFonts w:asciiTheme="majorHAnsi" w:eastAsiaTheme="majorEastAsia" w:hAnsiTheme="majorHAnsi" w:cstheme="majorBidi"/>
      <w:i/>
      <w:iCs/>
      <w:color w:val="4F81BD"/>
      <w:sz w:val="24"/>
      <w:szCs w:val="24"/>
      <w:spacing w:val="15"/>
    </w:rPr>
  </w:style>
  <w:style w:type="character" w:customStyle="1" w:styleId="Char2">
    <w:name w:val="부제 Char"/>
    <w:uiPriority w:val="11"/>
    <w:basedOn w:val="a2"/>
    <w:link w:val="a9"/>
    <w:rPr>
      <w:rFonts w:asciiTheme="majorHAnsi" w:eastAsiaTheme="majorEastAsia" w:hAnsiTheme="majorHAnsi" w:cstheme="majorBidi"/>
      <w:i/>
      <w:iCs/>
      <w:color w:val="4F81BD"/>
      <w:sz w:val="24"/>
      <w:szCs w:val="24"/>
      <w:spacing w:val="15"/>
    </w:rPr>
  </w:style>
  <w:style w:type="paragraph" w:styleId="aa">
    <w:name w:val="List Paragraph"/>
    <w:uiPriority w:val="34"/>
    <w:basedOn w:val="a1"/>
    <w:qFormat/>
    <w:pPr>
      <w:ind w:left="720"/>
      <w:contextualSpacing/>
    </w:pPr>
  </w:style>
  <w:style w:type="paragraph" w:styleId="ab">
    <w:name w:val="Body Text"/>
    <w:uiPriority w:val="99"/>
    <w:basedOn w:val="a1"/>
    <w:link w:val="Char3"/>
    <w:unhideWhenUsed/>
    <w:pPr>
      <w:spacing w:after="120"/>
    </w:pPr>
  </w:style>
  <w:style w:type="character" w:customStyle="1" w:styleId="Char3">
    <w:name w:val="본문 Char"/>
    <w:uiPriority w:val="99"/>
    <w:basedOn w:val="a2"/>
    <w:link w:val="ab"/>
  </w:style>
  <w:style w:type="paragraph" w:styleId="22">
    <w:name w:val="Body Text 2"/>
    <w:uiPriority w:val="99"/>
    <w:basedOn w:val="a1"/>
    <w:link w:val="2Char0"/>
    <w:unhideWhenUsed/>
    <w:pPr>
      <w:spacing w:after="120" w:line="480" w:lineRule="auto"/>
    </w:pPr>
  </w:style>
  <w:style w:type="character" w:customStyle="1" w:styleId="2Char0">
    <w:name w:val="본문 2 Char"/>
    <w:uiPriority w:val="99"/>
    <w:basedOn w:val="a2"/>
    <w:link w:val="22"/>
  </w:style>
  <w:style w:type="paragraph" w:styleId="32">
    <w:name w:val="Body Text 3"/>
    <w:uiPriority w:val="99"/>
    <w:basedOn w:val="a1"/>
    <w:link w:val="3Char0"/>
    <w:unhideWhenUsed/>
    <w:pPr>
      <w:spacing w:after="120"/>
    </w:pPr>
    <w:rPr>
      <w:sz w:val="16"/>
      <w:szCs w:val="16"/>
    </w:rPr>
  </w:style>
  <w:style w:type="character" w:customStyle="1" w:styleId="3Char0">
    <w:name w:val="본문 3 Char"/>
    <w:uiPriority w:val="99"/>
    <w:basedOn w:val="a2"/>
    <w:link w:val="32"/>
    <w:rPr>
      <w:sz w:val="16"/>
      <w:szCs w:val="16"/>
    </w:rPr>
  </w:style>
  <w:style w:type="paragraph" w:styleId="ac">
    <w:name w:val="List"/>
    <w:uiPriority w:val="99"/>
    <w:basedOn w:val="a1"/>
    <w:unhideWhenUsed/>
    <w:pPr>
      <w:ind w:left="360" w:hanging="360"/>
      <w:contextualSpacing/>
    </w:pPr>
  </w:style>
  <w:style w:type="paragraph" w:styleId="23">
    <w:name w:val="List 2"/>
    <w:uiPriority w:val="99"/>
    <w:basedOn w:val="a1"/>
    <w:unhideWhenUsed/>
    <w:pPr>
      <w:ind w:left="720" w:hanging="360"/>
      <w:contextualSpacing/>
    </w:pPr>
  </w:style>
  <w:style w:type="paragraph" w:styleId="33">
    <w:name w:val="List 3"/>
    <w:uiPriority w:val="99"/>
    <w:basedOn w:val="a1"/>
    <w:unhideWhenUsed/>
    <w:pPr>
      <w:ind w:left="1080" w:hanging="360"/>
      <w:contextualSpacing/>
    </w:pPr>
  </w:style>
  <w:style w:type="paragraph" w:styleId="a0">
    <w:name w:val="List Bullet"/>
    <w:uiPriority w:val="99"/>
    <w:basedOn w:val="a1"/>
    <w:unhideWhenUsed/>
    <w:pPr>
      <w:contextualSpacing/>
      <w:numPr>
        <w:numId w:val="1"/>
      </w:numPr>
    </w:pPr>
  </w:style>
  <w:style w:type="paragraph" w:styleId="20">
    <w:name w:val="List Bullet 2"/>
    <w:uiPriority w:val="99"/>
    <w:basedOn w:val="a1"/>
    <w:unhideWhenUsed/>
    <w:pPr>
      <w:contextualSpacing/>
      <w:numPr>
        <w:numId w:val="2"/>
      </w:numPr>
    </w:pPr>
  </w:style>
  <w:style w:type="paragraph" w:styleId="30">
    <w:name w:val="List Bullet 3"/>
    <w:uiPriority w:val="99"/>
    <w:basedOn w:val="a1"/>
    <w:unhideWhenUsed/>
    <w:pPr>
      <w:contextualSpacing/>
      <w:numPr>
        <w:numId w:val="3"/>
      </w:numPr>
    </w:pPr>
  </w:style>
  <w:style w:type="paragraph" w:styleId="a">
    <w:name w:val="List Number"/>
    <w:uiPriority w:val="99"/>
    <w:basedOn w:val="a1"/>
    <w:unhideWhenUsed/>
    <w:pPr>
      <w:contextualSpacing/>
      <w:numPr>
        <w:numId w:val="4"/>
      </w:numPr>
    </w:pPr>
  </w:style>
  <w:style w:type="paragraph" w:styleId="2">
    <w:name w:val="List Number 2"/>
    <w:uiPriority w:val="99"/>
    <w:basedOn w:val="a1"/>
    <w:unhideWhenUsed/>
    <w:pPr>
      <w:contextualSpacing/>
      <w:numPr>
        <w:numId w:val="5"/>
      </w:numPr>
    </w:pPr>
  </w:style>
  <w:style w:type="paragraph" w:styleId="3">
    <w:name w:val="List Number 3"/>
    <w:uiPriority w:val="99"/>
    <w:basedOn w:val="a1"/>
    <w:unhideWhenUsed/>
    <w:pPr>
      <w:contextualSpacing/>
      <w:numPr>
        <w:numId w:val="6"/>
      </w:numPr>
    </w:pPr>
  </w:style>
  <w:style w:type="paragraph" w:styleId="ad">
    <w:name w:val="List Continue"/>
    <w:uiPriority w:val="99"/>
    <w:basedOn w:val="a1"/>
    <w:unhideWhenUsed/>
    <w:pPr>
      <w:ind w:left="360"/>
      <w:contextualSpacing/>
      <w:spacing w:after="120"/>
    </w:pPr>
  </w:style>
  <w:style w:type="paragraph" w:styleId="24">
    <w:name w:val="List Continue 2"/>
    <w:uiPriority w:val="99"/>
    <w:basedOn w:val="a1"/>
    <w:unhideWhenUsed/>
    <w:pPr>
      <w:ind w:left="720"/>
      <w:contextualSpacing/>
      <w:spacing w:after="120"/>
    </w:pPr>
  </w:style>
  <w:style w:type="paragraph" w:styleId="34">
    <w:name w:val="List Continue 3"/>
    <w:uiPriority w:val="99"/>
    <w:basedOn w:val="a1"/>
    <w:unhideWhenUsed/>
    <w:pPr>
      <w:ind w:left="1080"/>
      <w:contextualSpacing/>
      <w:spacing w:after="120"/>
    </w:pPr>
  </w:style>
  <w:style w:type="paragraph" w:styleId="ae">
    <w:name w:val="macro"/>
    <w:uiPriority w:val="99"/>
    <w:link w:val="Char4"/>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uiPriority w:val="99"/>
    <w:basedOn w:val="a2"/>
    <w:link w:val="ae"/>
    <w:rPr>
      <w:rFonts w:ascii="Courier" w:hAnsi="Courier"/>
      <w:sz w:val="20"/>
      <w:szCs w:val="20"/>
    </w:rPr>
  </w:style>
  <w:style w:type="paragraph" w:styleId="af">
    <w:name w:val="Quote"/>
    <w:uiPriority w:val="29"/>
    <w:basedOn w:val="a1"/>
    <w:next w:val="a1"/>
    <w:link w:val="Char5"/>
    <w:qFormat/>
    <w:rPr>
      <w:i/>
      <w:iCs/>
      <w:color w:val="000000"/>
    </w:rPr>
  </w:style>
  <w:style w:type="character" w:customStyle="1" w:styleId="Char5">
    <w:name w:val="인용 Char"/>
    <w:uiPriority w:val="29"/>
    <w:basedOn w:val="a2"/>
    <w:link w:val="af"/>
    <w:rPr>
      <w:i/>
      <w:iCs/>
      <w:color w:val="000000"/>
    </w:rPr>
  </w:style>
  <w:style w:type="character" w:customStyle="1" w:styleId="4Char">
    <w:name w:val="제목 4 Char"/>
    <w:uiPriority w:val="9"/>
    <w:basedOn w:val="a2"/>
    <w:link w:val="4"/>
    <w:semiHidden/>
    <w:rPr>
      <w:rFonts w:asciiTheme="majorHAnsi" w:eastAsiaTheme="majorEastAsia" w:hAnsiTheme="majorHAnsi" w:cstheme="majorBidi"/>
      <w:b/>
      <w:bCs/>
      <w:i/>
      <w:iCs/>
      <w:color w:val="4F81BD"/>
    </w:rPr>
  </w:style>
  <w:style w:type="character" w:customStyle="1" w:styleId="5Char">
    <w:name w:val="제목 5 Char"/>
    <w:uiPriority w:val="9"/>
    <w:basedOn w:val="a2"/>
    <w:link w:val="5"/>
    <w:semiHidden/>
    <w:rPr>
      <w:rFonts w:asciiTheme="majorHAnsi" w:eastAsiaTheme="majorEastAsia" w:hAnsiTheme="majorHAnsi" w:cstheme="majorBidi"/>
      <w:color w:val="244061"/>
    </w:rPr>
  </w:style>
  <w:style w:type="character" w:customStyle="1" w:styleId="6Char">
    <w:name w:val="제목 6 Char"/>
    <w:uiPriority w:val="9"/>
    <w:basedOn w:val="a2"/>
    <w:link w:val="6"/>
    <w:semiHidden/>
    <w:rPr>
      <w:rFonts w:asciiTheme="majorHAnsi" w:eastAsiaTheme="majorEastAsia" w:hAnsiTheme="majorHAnsi" w:cstheme="majorBidi"/>
      <w:i/>
      <w:iCs/>
      <w:color w:val="244061"/>
    </w:rPr>
  </w:style>
  <w:style w:type="character" w:customStyle="1" w:styleId="7Char">
    <w:name w:val="제목 7 Char"/>
    <w:uiPriority w:val="9"/>
    <w:basedOn w:val="a2"/>
    <w:link w:val="7"/>
    <w:semiHidden/>
    <w:rPr>
      <w:rFonts w:asciiTheme="majorHAnsi" w:eastAsiaTheme="majorEastAsia" w:hAnsiTheme="majorHAnsi" w:cstheme="majorBidi"/>
      <w:i/>
      <w:iCs/>
      <w:color w:val="3F3F3F"/>
    </w:rPr>
  </w:style>
  <w:style w:type="character" w:customStyle="1" w:styleId="8Char">
    <w:name w:val="제목 8 Char"/>
    <w:uiPriority w:val="9"/>
    <w:basedOn w:val="a2"/>
    <w:link w:val="8"/>
    <w:semiHidden/>
    <w:rPr>
      <w:rFonts w:asciiTheme="majorHAnsi" w:eastAsiaTheme="majorEastAsia" w:hAnsiTheme="majorHAnsi" w:cstheme="majorBidi"/>
      <w:color w:val="4F81BD"/>
      <w:sz w:val="20"/>
      <w:szCs w:val="20"/>
    </w:rPr>
  </w:style>
  <w:style w:type="character" w:customStyle="1" w:styleId="9Char">
    <w:name w:val="제목 9 Char"/>
    <w:uiPriority w:val="9"/>
    <w:basedOn w:val="a2"/>
    <w:link w:val="9"/>
    <w:semiHidden/>
    <w:rPr>
      <w:rFonts w:asciiTheme="majorHAnsi" w:eastAsiaTheme="majorEastAsia" w:hAnsiTheme="majorHAnsi" w:cstheme="majorBidi"/>
      <w:i/>
      <w:iCs/>
      <w:color w:val="3F3F3F"/>
      <w:sz w:val="20"/>
      <w:szCs w:val="20"/>
    </w:rPr>
  </w:style>
  <w:style w:type="paragraph" w:styleId="af0">
    <w:name w:val="caption"/>
    <w:uiPriority w:val="35"/>
    <w:basedOn w:val="a1"/>
    <w:next w:val="a1"/>
    <w:qFormat/>
    <w:semiHidden/>
    <w:unhideWhenUsed/>
    <w:pPr>
      <w:spacing w:line="240" w:lineRule="auto"/>
    </w:pPr>
    <w:rPr>
      <w:b/>
      <w:bCs/>
      <w:color w:val="4F81BD"/>
      <w:sz w:val="18"/>
      <w:szCs w:val="18"/>
    </w:rPr>
  </w:style>
  <w:style w:type="character" w:styleId="af1">
    <w:name w:val="Strong"/>
    <w:uiPriority w:val="22"/>
    <w:basedOn w:val="a2"/>
    <w:qFormat/>
    <w:rPr>
      <w:b/>
      <w:bCs/>
    </w:rPr>
  </w:style>
  <w:style w:type="character" w:styleId="af2">
    <w:name w:val="Emphasis"/>
    <w:uiPriority w:val="20"/>
    <w:basedOn w:val="a2"/>
    <w:qFormat/>
    <w:rPr>
      <w:i/>
      <w:iCs/>
    </w:rPr>
  </w:style>
  <w:style w:type="paragraph" w:styleId="af3">
    <w:name w:val="Intense Quote"/>
    <w:uiPriority w:val="30"/>
    <w:basedOn w:val="a1"/>
    <w:next w:val="a1"/>
    <w:link w:val="Char6"/>
    <w:qFormat/>
    <w:pPr>
      <w:ind w:left="936" w:right="936"/>
      <w:pBdr>
        <w:bottom w:val="single" w:sz="4" w:space="4" w:color="4F81BD" w:themeColor="accent1"/>
      </w:pBdr>
      <w:spacing w:after="280" w:before="200"/>
    </w:pPr>
    <w:rPr>
      <w:b/>
      <w:bCs/>
      <w:i/>
      <w:iCs/>
      <w:color w:val="4F81BD"/>
    </w:rPr>
  </w:style>
  <w:style w:type="character" w:customStyle="1" w:styleId="Char6">
    <w:name w:val="강한 인용 Char"/>
    <w:uiPriority w:val="30"/>
    <w:basedOn w:val="a2"/>
    <w:link w:val="af3"/>
    <w:rPr>
      <w:b/>
      <w:bCs/>
      <w:i/>
      <w:iCs/>
      <w:color w:val="4F81BD"/>
    </w:rPr>
  </w:style>
  <w:style w:type="character" w:styleId="af4">
    <w:name w:val="Subtle Emphasis"/>
    <w:uiPriority w:val="19"/>
    <w:basedOn w:val="a2"/>
    <w:qFormat/>
    <w:rPr>
      <w:i/>
      <w:iCs/>
      <w:color w:val="7F7F7F"/>
    </w:rPr>
  </w:style>
  <w:style w:type="character" w:styleId="af5">
    <w:name w:val="Intense Emphasis"/>
    <w:uiPriority w:val="21"/>
    <w:basedOn w:val="a2"/>
    <w:qFormat/>
    <w:rPr>
      <w:b/>
      <w:bCs/>
      <w:i/>
      <w:iCs/>
      <w:color w:val="4F81BD"/>
    </w:rPr>
  </w:style>
  <w:style w:type="character" w:styleId="af6">
    <w:name w:val="Subtle Reference"/>
    <w:uiPriority w:val="31"/>
    <w:basedOn w:val="a2"/>
    <w:qFormat/>
    <w:rPr>
      <w:smallCaps/>
      <w:color w:val="C0504D"/>
      <w:u w:val="single" w:color="auto"/>
    </w:rPr>
  </w:style>
  <w:style w:type="character" w:styleId="af7">
    <w:name w:val="Intense Reference"/>
    <w:uiPriority w:val="32"/>
    <w:basedOn w:val="a2"/>
    <w:qFormat/>
    <w:rPr>
      <w:b/>
      <w:bCs/>
      <w:smallCaps/>
      <w:color w:val="C0504D"/>
      <w:u w:val="single" w:color="auto"/>
      <w:spacing w:val="5"/>
    </w:rPr>
  </w:style>
  <w:style w:type="character" w:styleId="af8">
    <w:name w:val="Book Title"/>
    <w:uiPriority w:val="33"/>
    <w:basedOn w:val="a2"/>
    <w:qFormat/>
    <w:rPr>
      <w:b/>
      <w:bCs/>
      <w:smallCaps/>
      <w:spacing w:val="5"/>
    </w:rPr>
  </w:style>
  <w:style w:type="paragraph" w:styleId="TOC">
    <w:name w:val="TOC Heading"/>
    <w:uiPriority w:val="39"/>
    <w:basedOn w:val="1"/>
    <w:next w:val="a1"/>
    <w:qFormat/>
    <w:semiHidden/>
    <w:unhideWhenUsed/>
    <w:pPr>
      <w:outlineLvl w:val="9"/>
    </w:pPr>
  </w:style>
  <w:style w:type="table" w:styleId="af9">
    <w:name w:val="Table Grid"/>
    <w:uiPriority w:val="59"/>
    <w:basedOn w:val="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uiPriority w:val="60"/>
    <w:basedOn w:val="a3"/>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
    <w:name w:val="Light Shading Accent 1"/>
    <w:uiPriority w:val="60"/>
    <w:basedOn w:val="a3"/>
    <w:pPr>
      <w:spacing w:after="0" w:line="240" w:lineRule="auto"/>
    </w:pPr>
    <w:rPr>
      <w:color w:val="376092"/>
    </w:rPr>
    <w:tblPr>
      <w:tblBorders>
        <w:top w:val="single" w:sz="8" w:space="0" w:color="4F81BD" w:themeColor="accent1"/>
        <w:bottom w:val="single" w:sz="8" w:space="0" w:color="4F81BD" w:themeColor="accent1"/>
      </w:tblBorders>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uiPriority w:val="60"/>
    <w:basedOn w:val="a3"/>
    <w:pPr>
      <w:spacing w:after="0" w:line="240" w:lineRule="auto"/>
    </w:pPr>
    <w:rPr>
      <w:color w:val="953735"/>
    </w:rPr>
    <w:tblPr>
      <w:tblBorders>
        <w:top w:val="single" w:sz="8" w:space="0" w:color="C0504D" w:themeColor="accent2"/>
        <w:bottom w:val="single" w:sz="8" w:space="0" w:color="C0504D" w:themeColor="accent2"/>
      </w:tblBorders>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
    <w:name w:val="Light Shading Accent 3"/>
    <w:uiPriority w:val="60"/>
    <w:basedOn w:val="a3"/>
    <w:pPr>
      <w:spacing w:after="0" w:line="240" w:lineRule="auto"/>
    </w:pPr>
    <w:rPr>
      <w:color w:val="76933C"/>
    </w:rPr>
    <w:tblPr>
      <w:tblBorders>
        <w:top w:val="single" w:sz="8" w:space="0" w:color="9BBB59" w:themeColor="accent3"/>
        <w:bottom w:val="single" w:sz="8" w:space="0" w:color="9BBB59" w:themeColor="accent3"/>
      </w:tblBorders>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uiPriority w:val="60"/>
    <w:basedOn w:val="a3"/>
    <w:pPr>
      <w:spacing w:after="0" w:line="240" w:lineRule="auto"/>
    </w:pPr>
    <w:rPr>
      <w:color w:val="604A7B"/>
    </w:rPr>
    <w:tblPr>
      <w:tblBorders>
        <w:top w:val="single" w:sz="8" w:space="0" w:color="8064A2" w:themeColor="accent4"/>
        <w:bottom w:val="single" w:sz="8" w:space="0" w:color="8064A2" w:themeColor="accent4"/>
      </w:tblBorders>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uiPriority w:val="60"/>
    <w:basedOn w:val="a3"/>
    <w:pPr>
      <w:spacing w:after="0" w:line="240" w:lineRule="auto"/>
    </w:pPr>
    <w:rPr>
      <w:color w:val="31859B"/>
    </w:rPr>
    <w:tblPr>
      <w:tblBorders>
        <w:top w:val="single" w:sz="8" w:space="0" w:color="4BACC6" w:themeColor="accent5"/>
        <w:bottom w:val="single" w:sz="8" w:space="0" w:color="4BACC6" w:themeColor="accent5"/>
      </w:tblBorders>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6">
    <w:name w:val="Light Shading Accent 6"/>
    <w:uiPriority w:val="60"/>
    <w:basedOn w:val="a3"/>
    <w:pPr>
      <w:spacing w:after="0" w:line="240" w:lineRule="auto"/>
    </w:pPr>
    <w:rPr>
      <w:color w:val="E46C0A"/>
    </w:rPr>
    <w:tblPr>
      <w:tblBorders>
        <w:top w:val="single" w:sz="8" w:space="0" w:color="F79646" w:themeColor="accent6"/>
        <w:bottom w:val="single" w:sz="8" w:space="0" w:color="F79646" w:themeColor="accent6"/>
      </w:tblBorders>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afb">
    <w:name w:val="Light List"/>
    <w:uiPriority w:val="61"/>
    <w:basedOn w:val="a3"/>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uiPriority w:val="61"/>
    <w:basedOn w:val="a3"/>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uiPriority w:val="61"/>
    <w:basedOn w:val="a3"/>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uiPriority w:val="61"/>
    <w:basedOn w:val="a3"/>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uiPriority w:val="61"/>
    <w:basedOn w:val="a3"/>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uiPriority w:val="61"/>
    <w:basedOn w:val="a3"/>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uiPriority w:val="61"/>
    <w:basedOn w:val="a3"/>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uiPriority w:val="62"/>
    <w:basedOn w:val="a3"/>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uiPriority w:val="62"/>
    <w:basedOn w:val="a3"/>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uiPriority w:val="62"/>
    <w:basedOn w:val="a3"/>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uiPriority w:val="62"/>
    <w:basedOn w:val="a3"/>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uiPriority w:val="62"/>
    <w:basedOn w:val="a3"/>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uiPriority w:val="62"/>
    <w:basedOn w:val="a3"/>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uiPriority w:val="62"/>
    <w:basedOn w:val="a3"/>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uiPriority w:val="63"/>
    <w:basedOn w:val="a3"/>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1">
    <w:name w:val="Medium Shading 1 Accent 1"/>
    <w:uiPriority w:val="63"/>
    <w:basedOn w:val="a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uiPriority w:val="63"/>
    <w:basedOn w:val="a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3">
    <w:name w:val="Medium Shading 1 Accent 3"/>
    <w:uiPriority w:val="63"/>
    <w:basedOn w:val="a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uiPriority w:val="63"/>
    <w:basedOn w:val="a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uiPriority w:val="63"/>
    <w:basedOn w:val="a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1-6">
    <w:name w:val="Medium Shading 1 Accent 6"/>
    <w:uiPriority w:val="63"/>
    <w:basedOn w:val="a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25">
    <w:name w:val="Medium Shading 2"/>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uiPriority w:val="64"/>
    <w:basedOn w:val="a3"/>
    <w:pPr>
      <w:spacing w:after="0" w:line="240" w:lineRule="auto"/>
    </w:pPr>
    <w:tblPr>
      <w:tblBorders>
        <w:top w:val="single" w:sz="18" w:space="0" w:color="auto"/>
        <w:bottom w:val="single" w:sz="18" w:space="0" w:color="auto"/>
      </w:tblBorders>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uiPriority w:val="65"/>
    <w:basedOn w:val="a3"/>
    <w:pPr>
      <w:spacing w:after="0" w:line="240" w:lineRule="auto"/>
    </w:pPr>
    <w:rPr>
      <w:color w:val="000000"/>
    </w:rPr>
    <w:tblPr>
      <w:tblBorders>
        <w:top w:val="single" w:sz="8" w:space="0" w:color="000000" w:themeColor="text1"/>
        <w:bottom w:val="single" w:sz="8" w:space="0" w:color="000000" w:themeColor="text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10">
    <w:name w:val="Medium List 1 Accent 1"/>
    <w:uiPriority w:val="65"/>
    <w:basedOn w:val="a3"/>
    <w:pPr>
      <w:spacing w:after="0" w:line="240" w:lineRule="auto"/>
    </w:pPr>
    <w:rPr>
      <w:color w:val="000000"/>
    </w:rPr>
    <w:tblPr>
      <w:tblBorders>
        <w:top w:val="single" w:sz="8" w:space="0" w:color="4F81BD" w:themeColor="accent1"/>
        <w:bottom w:val="single" w:sz="8" w:space="0" w:color="4F81BD" w:themeColor="accent1"/>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uiPriority w:val="65"/>
    <w:basedOn w:val="a3"/>
    <w:pPr>
      <w:spacing w:after="0" w:line="240" w:lineRule="auto"/>
    </w:pPr>
    <w:rPr>
      <w:color w:val="000000"/>
    </w:rPr>
    <w:tblPr>
      <w:tblBorders>
        <w:top w:val="single" w:sz="8" w:space="0" w:color="C0504D" w:themeColor="accent2"/>
        <w:bottom w:val="single" w:sz="8" w:space="0" w:color="C0504D" w:themeColor="accent2"/>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30">
    <w:name w:val="Medium List 1 Accent 3"/>
    <w:uiPriority w:val="65"/>
    <w:basedOn w:val="a3"/>
    <w:pPr>
      <w:spacing w:after="0" w:line="240" w:lineRule="auto"/>
    </w:pPr>
    <w:rPr>
      <w:color w:val="000000"/>
    </w:rPr>
    <w:tblPr>
      <w:tblBorders>
        <w:top w:val="single" w:sz="8" w:space="0" w:color="9BBB59" w:themeColor="accent3"/>
        <w:bottom w:val="single" w:sz="8" w:space="0" w:color="9BBB59" w:themeColor="accent3"/>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uiPriority w:val="65"/>
    <w:basedOn w:val="a3"/>
    <w:pPr>
      <w:spacing w:after="0" w:line="240" w:lineRule="auto"/>
    </w:pPr>
    <w:rPr>
      <w:color w:val="000000"/>
    </w:rPr>
    <w:tblPr>
      <w:tblBorders>
        <w:top w:val="single" w:sz="8" w:space="0" w:color="8064A2" w:themeColor="accent4"/>
        <w:bottom w:val="single" w:sz="8" w:space="0" w:color="8064A2" w:themeColor="accent4"/>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uiPriority w:val="65"/>
    <w:basedOn w:val="a3"/>
    <w:pPr>
      <w:spacing w:after="0" w:line="240" w:lineRule="auto"/>
    </w:pPr>
    <w:rPr>
      <w:color w:val="000000"/>
    </w:rPr>
    <w:tblPr>
      <w:tblBorders>
        <w:top w:val="single" w:sz="8" w:space="0" w:color="4BACC6" w:themeColor="accent5"/>
        <w:bottom w:val="single" w:sz="8" w:space="0" w:color="4BACC6" w:themeColor="accent5"/>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60">
    <w:name w:val="Medium List 1 Accent 6"/>
    <w:uiPriority w:val="65"/>
    <w:basedOn w:val="a3"/>
    <w:pPr>
      <w:spacing w:after="0" w:line="240" w:lineRule="auto"/>
    </w:pPr>
    <w:rPr>
      <w:color w:val="000000"/>
    </w:rPr>
    <w:tblPr>
      <w:tblBorders>
        <w:top w:val="single" w:sz="8" w:space="0" w:color="F79646" w:themeColor="accent6"/>
        <w:bottom w:val="single" w:sz="8" w:space="0" w:color="F79646" w:themeColor="accent6"/>
      </w:tblBorders>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26">
    <w:name w:val="Medium List 2"/>
    <w:uiPriority w:val="66"/>
    <w:basedOn w:val="a3"/>
    <w:pPr>
      <w:spacing w:after="0" w:line="240" w:lineRule="auto"/>
    </w:pPr>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uiPriority w:val="66"/>
    <w:basedOn w:val="a3"/>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uiPriority w:val="66"/>
    <w:basedOn w:val="a3"/>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uiPriority w:val="66"/>
    <w:basedOn w:val="a3"/>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uiPriority w:val="66"/>
    <w:basedOn w:val="a3"/>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uiPriority w:val="66"/>
    <w:basedOn w:val="a3"/>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uiPriority w:val="66"/>
    <w:basedOn w:val="a3"/>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uiPriority w:val="67"/>
    <w:basedOn w:val="a3"/>
    <w:pPr>
      <w:spacing w:after="0" w:line="240" w:lineRule="auto"/>
    </w:pPr>
    <w:tblPr>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11">
    <w:name w:val="Medium Grid 1 Accent 1"/>
    <w:uiPriority w:val="67"/>
    <w:basedOn w:val="a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1">
    <w:name w:val="Medium Grid 1 Accent 2"/>
    <w:uiPriority w:val="67"/>
    <w:basedOn w:val="a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uiPriority w:val="67"/>
    <w:basedOn w:val="a3"/>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uiPriority w:val="67"/>
    <w:basedOn w:val="a3"/>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uiPriority w:val="67"/>
    <w:basedOn w:val="a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uiPriority w:val="67"/>
    <w:basedOn w:val="a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uiPriority w:val="68"/>
    <w:basedOn w:val="a3"/>
    <w:pPr>
      <w:spacing w:after="0" w:line="240" w:lineRule="auto"/>
    </w:pPr>
    <w:rPr>
      <w:rFonts w:asciiTheme="majorHAnsi" w:eastAsiaTheme="majorEastAsia" w:hAnsiTheme="majorHAnsi" w:cstheme="majorBidi"/>
      <w:color w:val="000000"/>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2-11">
    <w:name w:val="Medium Grid 2 Accent 1"/>
    <w:uiPriority w:val="68"/>
    <w:basedOn w:val="a3"/>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2-21">
    <w:name w:val="Medium Grid 2 Accent 2"/>
    <w:uiPriority w:val="68"/>
    <w:basedOn w:val="a3"/>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uiPriority w:val="68"/>
    <w:basedOn w:val="a3"/>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uiPriority w:val="68"/>
    <w:basedOn w:val="a3"/>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uiPriority w:val="68"/>
    <w:basedOn w:val="a3"/>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uiPriority w:val="68"/>
    <w:basedOn w:val="a3"/>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3-1">
    <w:name w:val="Medium Grid 3 Accent 1"/>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3-2">
    <w:name w:val="Medium Grid 3 Accent 2"/>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uiPriority w:val="69"/>
    <w:basedOn w:val="a3"/>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uiPriority w:val="70"/>
    <w:basedOn w:val="a3"/>
    <w:pPr>
      <w:spacing w:after="0" w:line="240" w:lineRule="auto"/>
    </w:pPr>
    <w:rPr>
      <w:color w:val="FFFFFF"/>
    </w:rPr>
    <w:tblP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uiPriority w:val="70"/>
    <w:basedOn w:val="a3"/>
    <w:pPr>
      <w:spacing w:after="0" w:line="240" w:lineRule="auto"/>
    </w:pPr>
    <w:rPr>
      <w:color w:val="FFFFFF"/>
    </w:rPr>
    <w:tblP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22">
    <w:name w:val="Dark List Accent 2"/>
    <w:uiPriority w:val="70"/>
    <w:basedOn w:val="a3"/>
    <w:pPr>
      <w:spacing w:after="0" w:line="240" w:lineRule="auto"/>
    </w:pPr>
    <w:rPr>
      <w:color w:val="FFFFFF"/>
    </w:rPr>
    <w:tblP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32">
    <w:name w:val="Dark List Accent 3"/>
    <w:uiPriority w:val="70"/>
    <w:basedOn w:val="a3"/>
    <w:pPr>
      <w:spacing w:after="0" w:line="240" w:lineRule="auto"/>
    </w:pPr>
    <w:rPr>
      <w:color w:val="FFFFFF"/>
    </w:rPr>
    <w:tblP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42">
    <w:name w:val="Dark List Accent 4"/>
    <w:uiPriority w:val="70"/>
    <w:basedOn w:val="a3"/>
    <w:pPr>
      <w:spacing w:after="0" w:line="240" w:lineRule="auto"/>
    </w:pPr>
    <w:rPr>
      <w:color w:val="FFFFFF"/>
    </w:rPr>
    <w:tblP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52">
    <w:name w:val="Dark List Accent 5"/>
    <w:uiPriority w:val="70"/>
    <w:basedOn w:val="a3"/>
    <w:pPr>
      <w:spacing w:after="0" w:line="240" w:lineRule="auto"/>
    </w:pPr>
    <w:rPr>
      <w:color w:val="FFFFFF"/>
    </w:rPr>
    <w:tblP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62">
    <w:name w:val="Dark List Accent 6"/>
    <w:uiPriority w:val="70"/>
    <w:basedOn w:val="a3"/>
    <w:pPr>
      <w:spacing w:after="0" w:line="240" w:lineRule="auto"/>
    </w:pPr>
    <w:rPr>
      <w:color w:val="FFFFFF"/>
    </w:rPr>
    <w:tblP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afe">
    <w:name w:val="Colorful Shading"/>
    <w:uiPriority w:val="71"/>
    <w:basedOn w:val="a3"/>
    <w:pPr>
      <w:spacing w:after="0" w:line="240" w:lineRule="auto"/>
    </w:pPr>
    <w:rPr>
      <w:color w:val="000000"/>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3">
    <w:name w:val="Colorful Shading Accent 1"/>
    <w:uiPriority w:val="71"/>
    <w:basedOn w:val="a3"/>
    <w:pPr>
      <w:spacing w:after="0" w:line="240" w:lineRule="auto"/>
    </w:pPr>
    <w:rPr>
      <w:color w:val="000000"/>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23">
    <w:name w:val="Colorful Shading Accent 2"/>
    <w:uiPriority w:val="71"/>
    <w:basedOn w:val="a3"/>
    <w:pPr>
      <w:spacing w:after="0" w:line="240" w:lineRule="auto"/>
    </w:pPr>
    <w:rPr>
      <w:color w:val="000000"/>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uiPriority w:val="71"/>
    <w:basedOn w:val="a3"/>
    <w:pPr>
      <w:spacing w:after="0" w:line="240" w:lineRule="auto"/>
    </w:pPr>
    <w:rPr>
      <w:color w:val="000000"/>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43">
    <w:name w:val="Colorful Shading Accent 4"/>
    <w:uiPriority w:val="71"/>
    <w:basedOn w:val="a3"/>
    <w:pPr>
      <w:spacing w:after="0" w:line="240" w:lineRule="auto"/>
    </w:pPr>
    <w:rPr>
      <w:color w:val="000000"/>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uiPriority w:val="71"/>
    <w:basedOn w:val="a3"/>
    <w:pPr>
      <w:spacing w:after="0" w:line="240" w:lineRule="auto"/>
    </w:pPr>
    <w:rPr>
      <w:color w:val="000000"/>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uiPriority w:val="71"/>
    <w:basedOn w:val="a3"/>
    <w:pPr>
      <w:spacing w:after="0" w:line="240" w:lineRule="auto"/>
    </w:pPr>
    <w:rPr>
      <w:color w:val="000000"/>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uiPriority w:val="72"/>
    <w:basedOn w:val="a3"/>
    <w:pPr>
      <w:spacing w:after="0" w:line="240" w:lineRule="auto"/>
    </w:pPr>
    <w:rPr>
      <w:color w:val="000000"/>
    </w:rPr>
    <w:tblP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14">
    <w:name w:val="Colorful List Accent 1"/>
    <w:uiPriority w:val="72"/>
    <w:basedOn w:val="a3"/>
    <w:pPr>
      <w:spacing w:after="0" w:line="240" w:lineRule="auto"/>
    </w:pPr>
    <w:rPr>
      <w:color w:val="000000"/>
    </w:rPr>
    <w:tblP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uiPriority w:val="72"/>
    <w:basedOn w:val="a3"/>
    <w:pPr>
      <w:spacing w:after="0" w:line="240" w:lineRule="auto"/>
    </w:pPr>
    <w:rPr>
      <w:color w:val="000000"/>
    </w:rPr>
    <w:tblP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34">
    <w:name w:val="Colorful List Accent 3"/>
    <w:uiPriority w:val="72"/>
    <w:basedOn w:val="a3"/>
    <w:pPr>
      <w:spacing w:after="0" w:line="240" w:lineRule="auto"/>
    </w:pPr>
    <w:rPr>
      <w:color w:val="000000"/>
    </w:rPr>
    <w:tblP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44">
    <w:name w:val="Colorful List Accent 4"/>
    <w:uiPriority w:val="72"/>
    <w:basedOn w:val="a3"/>
    <w:pPr>
      <w:spacing w:after="0" w:line="240" w:lineRule="auto"/>
    </w:pPr>
    <w:rPr>
      <w:color w:val="000000"/>
    </w:rPr>
    <w:tblP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54">
    <w:name w:val="Colorful List Accent 5"/>
    <w:uiPriority w:val="72"/>
    <w:basedOn w:val="a3"/>
    <w:pPr>
      <w:spacing w:after="0" w:line="240" w:lineRule="auto"/>
    </w:pPr>
    <w:rPr>
      <w:color w:val="000000"/>
    </w:rPr>
    <w:tblP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64">
    <w:name w:val="Colorful List Accent 6"/>
    <w:uiPriority w:val="72"/>
    <w:basedOn w:val="a3"/>
    <w:pPr>
      <w:spacing w:after="0" w:line="240" w:lineRule="auto"/>
    </w:pPr>
    <w:rPr>
      <w:color w:val="000000"/>
    </w:rPr>
    <w:tblP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aff0">
    <w:name w:val="Colorful Grid"/>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5">
    <w:name w:val="Colorful Grid Accent 1"/>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25">
    <w:name w:val="Colorful Grid Accent 2"/>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uiPriority w:val="73"/>
    <w:basedOn w:val="a3"/>
    <w:pPr>
      <w:spacing w:after="0" w:line="240" w:lineRule="auto"/>
    </w:pPr>
    <w:rPr>
      <w:color w:val="000000"/>
    </w:rPr>
    <w:tblPr>
      <w:tblBorders>
        <w:insideH w:val="single" w:sz="4" w:space="0" w:color="FFFFFF" w:themeColor="background1"/>
      </w:tblBorders>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webSettings" Target="web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DANHA</cp:lastModifiedBy>
  <cp:revision>1</cp:revision>
  <dcterms:created xsi:type="dcterms:W3CDTF">2013-12-23T23:15:00Z</dcterms:created>
  <dcterms:modified xsi:type="dcterms:W3CDTF">2026-10-01T20:05:26Z</dcterms:modified>
  <cp:version>1200.0100.01</cp:version>
</cp:coreProperties>
</file>