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1. Signboard detection by model and region (AP@0.5)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Overall (pooled)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0.871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0.790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0.815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0.744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</w:tr>
    </w:tbl>
    <w:p/>
    <w:p>
      <w:r>
        <w:rPr>
          <w:b/>
          <w:sz w:val="22"/>
        </w:rPr>
        <w:t>Table 2. Signboard detection, word-box detection, and the two chained — all in AP@0.5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300"/>
        <w:gridCol w:w="1400"/>
        <w:gridCol w:w="1300"/>
        <w:gridCol w:w="1300"/>
        <w:gridCol w:w="1440"/>
      </w:tblGrid>
      <w:tr>
        <w:tc>
          <w:tcPr>
            <w:tcW w:type="dxa" w:w="190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Signboard AP@0.5 (GSV)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Word-box AP@0.5 (AI Hub)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Word-box AP@0.5 (GSV, GT signboards)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Chained AP@0.5 (GSV)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Chained, 15 photos with no detected signboard excluded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0.822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0.892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0.718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0.740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0.809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0.893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0.722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0.745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0.715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0.827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0.675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0.696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0.672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0.795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0.638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0.658</w:t>
            </w:r>
          </w:p>
        </w:tc>
      </w:tr>
    </w:tbl>
    <w:p/>
    <w:p>
      <w:r>
        <w:rPr>
          <w:b/>
          <w:sz w:val="22"/>
        </w:rPr>
        <w:t>Table 3. Each OCR recognizer on its own, by region (line exact / CER)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Why it is in this comparison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Training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LSTM line recognizer; the long-standing open-source document OCR engine (Google)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default baseline in applied OCR papers, which routinely benchmark Tesseract / EasyOCR / PaddleOCR against each other. Also the only engine here we can fine-tune without a deep-learning STR stack, which separates 'needs more data' from 'wrong architecture'.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31.1 / 0.541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47.7 / 0.306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14.9 / 0.736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0.464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same engine, fine-tuned on our data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Shows how far the same architecture moves when it gets the identical training set.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35.8 / 0.507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44.2 / 0.316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20.4 / 0.688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34.0%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0.449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EasyOCR (CRNN)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CRNN recognizer with its own bundled detector (JaidedAI); here the recognizer only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single most common PaddleOCR comparison partner in this literature, so a PaddleOCR paper is expected to carry it. Below PaddleOCR in weight class (CRNN vs a modern STR head).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56.6 / 0.259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56.8 / 0.184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55.2 / 0.298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0.230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TrOCR-base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Transformer encoder-decoder OCR (Microsoft), 334M — base rather than small, to match capacity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Also a frequent PaddleOCR comparison point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71.2 / 0.228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56.8 / 0.168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68.5 / 0.228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65.5%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0.198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Surya 0.14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Modern multilingual document OCR toolkit, transformer-based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current document-OCR system rather than a legacy one: it tests whether the document-vs-scene gap is about the age of the engine or about the task it was built for.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43.9 / 0.532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59.3 / 0.194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22.1 / 0.759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42.4%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0.411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CLOVA OCR General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NAVER's commercial OCR API (closed weights, per-call billing)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Included at the author's request as the commercial reference point. It cannot be fine-tuned on our data, so it answers 'can a paid general API replace a fine-tuned model on Korean signage?' rather than 'which architecture is better?'.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58.0 / 0.317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59.8 / 0.186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48.1 / 0.415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55.6%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0.272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PARSeq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Permuted autoregressive sequence STR model (ECCV 2022); standard academic STR baseline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ViT-S puts it closest in parameter count to the deployed recognizer, so it is the fair same-weight-class comparison.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70.8 / 0.242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71.9 / 0.133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62.4 / 0.290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68.6%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0.197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7"/>
              </w:rPr>
              <w:t>PaddleOCR PP-OCRv5 rec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Baidu PaddleOCR's 5th-generation recognizer — the previously deployed model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The previously deployed recognizer; the reference row for the replacement decision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73.6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77.9 / 0.108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68.5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73.5%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0.149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7"/>
              </w:rPr>
              <w:t>SVTRv2-B (deployed)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Single-visual-model STR with a CTC head, OpenOCR (2024); current strong open STR 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The deployed recognizer. Chosen for cost, not accuracy: it reaches the same corrected output in one recognition pass where the previous configuration needed three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74.5 / 0.185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78.9 / 0.105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72.9 / 0.197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75.5%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0.147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ABINet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STR with an explicit language model (CVPR 2021); the extended version is in IEEE TPAMI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standard baseline in STR comparison tables, and fine-tunable on the same OpenOCR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(pending)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MAERec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MAE-pretrained ViT with an NRTR decoder (ICCV 2023, Union14M)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more recent pre-training-based STR baseline on the same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(pending)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</w:tbl>
    <w:p/>
    <w:p>
      <w:r>
        <w:rPr>
          <w:b/>
          <w:sz w:val="22"/>
        </w:rPr>
        <w:t>Table 4. SVTRv2-B + VLM correction by model and method, by region (line exact / CER)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What the VLM sees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SVTRv2-B alone (no correction)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nothing — recognizer output as-is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73.5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83.4%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80.7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87.9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82.8%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0.133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81.1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90.5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82.9%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rPr>
          <w:b/>
          <w:sz w:val="22"/>
        </w:rPr>
        <w:t>Table 5. End-to-end pipeline, configurations A and B: GSV photo → signboard detection → word detection → SVTRv2-B → Gemma 4 31B fix → Gemma 4 31B tagging (298 photos; line exact % / tagging accuracy %)</w:t>
      </w:r>
    </w:p>
    <w:tbl>
      <w:tblPr>
        <w:tblStyle w:val="TableGrid"/>
        <w:tblW w:type="dxa" w:w="9936"/>
        <w:tblLayout w:type="fixed"/>
        <w:tblLook w:firstColumn="1" w:firstRow="1" w:lastColumn="0" w:lastRow="0" w:noHBand="0" w:noVBand="1" w:val="04A0"/>
      </w:tblPr>
      <w:tblGrid>
        <w:gridCol w:w="1584"/>
        <w:gridCol w:w="3168"/>
        <w:gridCol w:w="1296"/>
        <w:gridCol w:w="1296"/>
        <w:gridCol w:w="1296"/>
        <w:gridCol w:w="1296"/>
      </w:tblGrid>
      <w:tr>
        <w:tc>
          <w:tcPr>
            <w:tcW w:type="dxa" w:w="1584"/>
          </w:tcPr>
          <w:p>
            <w:pPr>
              <w:jc w:val="left"/>
            </w:pPr>
            <w:r>
              <w:rPr>
                <w:b/>
                <w:sz w:val="17"/>
              </w:rPr>
              <w:t>Configuration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b/>
                <w:sz w:val="17"/>
              </w:rPr>
              <w:t>Stage / metric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>
              <w:rPr>
                <w:sz w:val="17"/>
              </w:rPr>
              <w:t>Shared stage 1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Signboard detection (YOLO26x, out-of-fold): TP / FN / FP at IoU ≥ 0.5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116 / 29 / 37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142 / 25 / 26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116 / 25 / 33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374 / 79 / 96</w:t>
            </w:r>
          </w:p>
        </w:tc>
      </w:tr>
      <w:tr>
        <w:tc>
          <w:tcPr>
            <w:tcW w:type="dxa" w:w="1584"/>
            <w:vMerge w:val="restart"/>
          </w:tcPr>
          <w:p>
            <w:pPr>
              <w:jc w:val="left"/>
            </w:pPr>
            <w:r>
              <w:rPr>
                <w:sz w:val="17"/>
              </w:rPr>
              <w:t>A (deployed): YOLO26x word detector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OCR line exact — on correctly detected signboards (TP)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77.1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76.5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78.1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77.2%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OCR line exact — on GT signboards (detection perfect)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88.7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83.6%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Tagging accuracy — on correctly detected signboards (TP)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87.2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70.5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84.6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80.6%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False POI — non-signboard crops (FP) that received a business tag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26 / 37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19 / 26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24 / 33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69 / 96</w:t>
            </w:r>
          </w:p>
        </w:tc>
      </w:tr>
      <w:tr>
        <w:tc>
          <w:tcPr>
            <w:tcW w:type="dxa" w:w="1584"/>
            <w:vMerge w:val="restart"/>
          </w:tcPr>
          <w:p>
            <w:pPr>
              <w:jc w:val="left"/>
            </w:pPr>
            <w:r>
              <w:rPr>
                <w:sz w:val="17"/>
              </w:rPr>
              <w:t>B: YOLOv5x word detector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OCR line exact — on correctly detected signboards (TP)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75.9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74.1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75.3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75.1%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OCR line exact — on GT signboards (detection perfect)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83.5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85.6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77.9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82.4%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Tagging accuracy — on correctly detected signboards (TP)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86.2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69.6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86.5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80.6%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False POI — non-signboard crops (FP) that received a business tag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29 / 37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18 / 26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20 / 33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67 / 96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