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Style w:val="StrongEmphasis"/>
                      <w:rFonts w:cs="Verdana" w:ascii="Verdana" w:hAnsi="Verdana"/>
                      <w:color w:val="000000"/>
                      <w:sz w:val="17"/>
                      <w:szCs w:val="17"/>
                    </w:rPr>
                    <w:t>2005 május - Polgármesteri keretből az Áht. 15/A. § - alapján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  <w:p>
                  <w:pPr>
                    <w:pStyle w:val="Normal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  <w:r>
                    <mc:AlternateContent>
                      <mc:Choice Requires="wps">
                        <w:drawing>
                          <wp:anchor behindDoc="0" distT="0" distB="0" distL="0" distR="28575" simplePos="0" locked="0" layoutInCell="1" allowOverlap="1" relativeHeight="2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paragraph">
                              <wp:posOffset>635</wp:posOffset>
                            </wp:positionV>
                            <wp:extent cx="5645785" cy="12796520"/>
                            <wp:effectExtent l="0" t="0" r="0" b="0"/>
                            <wp:wrapSquare wrapText="bothSides"/>
                            <wp:docPr id="1" name="Fram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645785" cy="12796520"/>
                                    </a:xfrm>
                                    <a:prstGeom prst="rect"/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W w:w="5000" w:type="pct"/>
                                          <w:jc w:val="start"/>
                                          <w:tblInd w:w="0" w:type="dxa"/>
                                          <w:tblCellMar>
                                            <w:top w:w="0" w:type="dxa"/>
                                            <w:start w:w="108" w:type="dxa"/>
                                            <w:bottom w:w="0" w:type="dxa"/>
                                            <w:end w:w="108" w:type="dxa"/>
                                          </w:tblCellMar>
                                        </w:tblPr>
                                        <w:tblGrid>
                                          <w:gridCol w:w="2226"/>
                                          <w:gridCol w:w="2240"/>
                                          <w:gridCol w:w="2190"/>
                                          <w:gridCol w:w="2235"/>
                                        </w:tblGrid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center"/>
                                                <w:rPr>
                                                  <w:rStyle w:val="StrongEmphasis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rongEmphasis"/>
                                                  <w:color w:val="000000"/>
                                                </w:rPr>
                                                <w:t>A támogatott neve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center"/>
                                                <w:rPr>
                                                  <w:rStyle w:val="StrongEmphasis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rongEmphasis"/>
                                                  <w:color w:val="000000"/>
                                                </w:rPr>
                                                <w:t>A támogatás célja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center"/>
                                                <w:rPr>
                                                  <w:rStyle w:val="StrongEmphasis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rongEmphasis"/>
                                                  <w:color w:val="000000"/>
                                                </w:rPr>
                                                <w:t>A támogatás összege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rStyle w:val="StrongEmphasis"/>
                                                  <w:color w:val="000000"/>
                                                </w:rPr>
                                                <w:t>(e Ft)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center"/>
                                                <w:rPr>
                                                  <w:rStyle w:val="StrongEmphasis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rongEmphasis"/>
                                                  <w:color w:val="000000"/>
                                                </w:rPr>
                                                <w:t>A támogatott program megvalósítási helye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/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Történelmi Igazságtétel Bizottság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Tevékenységük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Győri Nők Független Szervezete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Halászléfőző verseny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Móricz Zs. rkp.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Hadirokk., Hadiözv., Hadiárvák Szövetsége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Tagjaik segítése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20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Gyermek Intenzív Terápiáért Alapítvány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Mészáros Rebeka gyógyításához hozzájár.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Petz A. M. Kórház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Nyugdíjasok Nádorvárosi Klubja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Városi Könyvtár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Értelmileg Sérültek és Segítőik Egyesülete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Gyermeknap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30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Bácsai Nyugdíjas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45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Bácsa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Marcalvárosi Közokt. Kp.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Nk. Balázs-kupa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Vasas Szaksz. Szöv.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Szövets.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Eü. Nyugd. Petz Klubja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30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Lenvirág Nyugd.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35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Győr-Gyárváros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Arany J. Nyd.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Szigeti Nyd. Klubja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Győr-Sziget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Napsugár Nyd.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Adyváros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Fegyveres Erők és Test. Nyugáll. Klubja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Gy. ETO Kézilabda Szurkolói Egyesület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Szurkolói torna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1944-45-ös volt Magyar Katonák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Tevékenységük támo-gatása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30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Győri Egyetemi Közh. Egyesület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Külügyes találkozó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Győr- Egyetem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Nagy Imre Társaság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Vetélkedő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Szerencseklub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50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Borostyán Nyd.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40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Győr-Gyárváros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Vakok Egyesülete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Tevékenységük támog.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60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Gyökerek Nyd. Klub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Klub működésének támogatása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15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Magyar Darts Szövetség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EB-n való részvétel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100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Sopron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Óvodai Nyd. Baráti Köre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A Kör működésének támogatása – Ped. Nap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20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Győr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/>
                                          <w:tc>
                                            <w:tcPr>
                                              <w:tcW w:w="2226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Heller Lászlóné vállalk.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4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Vakáció-köszöntő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90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end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80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235" w:type="dxa"/>
                                              <w:tcBorders>
                                                <w:top w:val="single" w:sz="4" w:space="0" w:color="000000"/>
                                                <w:start w:val="single" w:sz="4" w:space="0" w:color="000000"/>
                                                <w:bottom w:val="single" w:sz="4" w:space="0" w:color="000000"/>
                                                <w:end w:val="single" w:sz="4" w:space="0" w:color="000000"/>
                                              </w:tcBorders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jc w:val="both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  <w:t>Radó sziget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</w:txbxContent>
                                  </wps:txbx>
                                  <wps:bodyPr anchor="t" lIns="0" tIns="0" rIns="0" bIns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100000</wp14:pctWidth>
                            </wp14:sizeRelH>
                          </wp:anchor>
                        </w:drawing>
                      </mc:Choice>
                      <mc:Fallback>
                        <w:pict>
                          <v:rect style="position:absolute;rotation:0;width:444.55pt;height:1007.6pt;mso-wrap-distance-left:0pt;mso-wrap-distance-right:2.25pt;mso-wrap-distance-top:0pt;mso-wrap-distance-bottom:0pt;margin-top:0pt;mso-position-vertical-relative:text;margin-left:0pt;mso-position-horizontal:left;mso-position-horizontal-relative:text">
                            <v:textbox>
                              <w:txbxContent>
                                <w:tbl>
                                  <w:tblPr>
                                    <w:tblW w:w="5000" w:type="pct"/>
                                    <w:jc w:val="start"/>
                                    <w:tblInd w:w="0" w:type="dxa"/>
                                    <w:tblCellMar>
                                      <w:top w:w="0" w:type="dxa"/>
                                      <w:start w:w="108" w:type="dxa"/>
                                      <w:bottom w:w="0" w:type="dxa"/>
                                      <w:end w:w="108" w:type="dxa"/>
                                    </w:tblCellMar>
                                  </w:tblPr>
                                  <w:tblGrid>
                                    <w:gridCol w:w="2226"/>
                                    <w:gridCol w:w="2240"/>
                                    <w:gridCol w:w="2190"/>
                                    <w:gridCol w:w="2235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rStyle w:val="StrongEmphasis"/>
                                          </w:rPr>
                                        </w:pPr>
                                        <w:r>
                                          <w:rPr>
                                            <w:rStyle w:val="StrongEmphasis"/>
                                            <w:color w:val="000000"/>
                                          </w:rPr>
                                          <w:t>A támogatott neve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rStyle w:val="StrongEmphasis"/>
                                          </w:rPr>
                                        </w:pPr>
                                        <w:r>
                                          <w:rPr>
                                            <w:rStyle w:val="StrongEmphasis"/>
                                            <w:color w:val="000000"/>
                                          </w:rPr>
                                          <w:t>A támogatás célja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rStyle w:val="StrongEmphasis"/>
                                          </w:rPr>
                                        </w:pPr>
                                        <w:r>
                                          <w:rPr>
                                            <w:rStyle w:val="StrongEmphasis"/>
                                            <w:color w:val="000000"/>
                                          </w:rPr>
                                          <w:t>A támogatás összege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Style w:val="StrongEmphasis"/>
                                            <w:color w:val="000000"/>
                                          </w:rPr>
                                          <w:t>(e Ft)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rStyle w:val="StrongEmphasis"/>
                                          </w:rPr>
                                        </w:pPr>
                                        <w:r>
                                          <w:rPr>
                                            <w:rStyle w:val="StrongEmphasis"/>
                                            <w:color w:val="000000"/>
                                          </w:rPr>
                                          <w:t>A támogatott program megvalósítási helye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Történelmi Igazságtétel Bizottság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Tevékenységük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Győri Nők Független Szervezete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Halászléfőző verseny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Móricz Zs. rkp.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Hadirokk., Hadiözv., Hadiárvák Szövetsége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Tagjaik segítése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Gyermek Intenzív Terápiáért Alapítvány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Mészáros Rebeka gyógyításához hozzájár.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Petz A. M. Kórház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Nyugdíjasok Nádorvárosi Klubja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Városi Könyvtár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Értelmileg Sérültek és Segítőik Egyesülete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Gyermeknap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Bácsai Nyugdíjas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Bácsa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Marcalvárosi Közokt. Kp.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Nk. Balázs-kupa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Vasas Szaksz. Szöv.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Szövets.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Eü. Nyugd. Petz Klubja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Lenvirág Nyugd.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Győr-Gyárváros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Arany J. Nyd.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Szigeti Nyd. Klubja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Győr-Sziget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Napsugár Nyd.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Adyváros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Fegyveres Erők és Test. Nyugáll. Klubja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Gy. ETO Kézilabda Szurkolói Egyesület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Szurkolói torna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1944-45-ös volt Magyar Katonák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Tevékenységük támo-gatása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Győri Egyetemi Közh. Egyesület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Külügyes találkozó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Győr- Egyetem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Nagy Imre Társaság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Vetélkedő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Szerencseklub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Borostyán Nyd.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Győr-Gyárváros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Vakok Egyesülete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Tevékenységük támog.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Gyökerek Nyd. Klub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Klub működésének támogatása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Magyar Darts Szövetség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EB-n való részvétel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Sopron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Óvodai Nyd. Baráti Köre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A Kör működésének támogatása – Ped. Nap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Győr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226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Heller Lászlóné vállalk.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4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Vakáció-köszöntő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9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end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35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jc w:val="both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Radó sziget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v:textbox>
                            <w10:wrap type="squar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  <w:p>
                  <w:pPr>
                    <w:pStyle w:val="Normal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2007-08-08T07:09:00Z</dcterms:created>
  <dc:creator>opeter</dc:creator>
  <dc:description/>
  <cp:keywords/>
  <dc:language>en-GB</dc:language>
  <cp:lastModifiedBy>opeter</cp:lastModifiedBy>
  <dcterms:modified xsi:type="dcterms:W3CDTF">2007-08-08T07:10:00Z</dcterms:modified>
  <cp:revision>1</cp:revision>
  <dc:subject/>
  <dc:title>2005 május - Polgármesteri keretből az Áht</dc:title>
</cp:coreProperties>
</file>