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b/>
          <w:bCs/>
          <w:sz w:val="28"/>
          <w:szCs w:val="28"/>
        </w:rPr>
        <w:t>GAZDÁLKODÁSI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2010. november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57" w:type="dxa"/>
        <w:jc w:val="start"/>
        <w:tblInd w:w="-16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45"/>
        <w:gridCol w:w="1824"/>
        <w:gridCol w:w="1938"/>
        <w:gridCol w:w="2350"/>
      </w:tblGrid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/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A szerződő fél megnevezése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időtartama</w:t>
            </w:r>
          </w:p>
          <w:p>
            <w:pPr>
              <w:pStyle w:val="Tblzattartalom"/>
              <w:ind w:start="-7300" w:end="-55" w:hanging="0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Győri Vízisport Egyesület sporttevékenységének működésének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Győri Vízisport Egyesület nevében Ábrahám Csaba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8.770.200,-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2011. január 15-ig 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Gyirmóti Sport Egyesület sporttevékenységének működésének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Gyirmóti Sport Egyesület nevében 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  <w:t>Horváth Ernő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4.544.670,-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január 31-ig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Bercsényi DSE Győr sporttevékenységének működésének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Bercsényi DSE Győr nevében Kollár András 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2.000.000,-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január 15-ig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ETO Futsal Club működési költségeinek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ETO Futsal Club nevében 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  <w:t>Dr. Drucskó Zoltán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30.149.200,-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január 15-ig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Széchenyi István Egyetem Sportegyesülete működésének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Széchenyi István Egyetem Sportegyesülete nevében </w:t>
            </w:r>
          </w:p>
          <w:p>
            <w:pPr>
              <w:pStyle w:val="Tblzattartalom"/>
              <w:snapToGrid w:val="false"/>
              <w:jc w:val="center"/>
              <w:rPr/>
            </w:pPr>
            <w:r>
              <w:rPr/>
              <w:t>Farkas Péter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428.000,-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január 15-ig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Forrás Waldorf Iskola oktatásának, működésének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Forrás Waldorf Iskola nevében Dóbiás Tamás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2.000.000,-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december 15-ig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 pénzeszközátadásra</w:t>
            </w:r>
          </w:p>
          <w:p>
            <w:pPr>
              <w:pStyle w:val="Tblzattartalom"/>
              <w:snapToGrid w:val="false"/>
              <w:rPr/>
            </w:pPr>
            <w:r>
              <w:rPr/>
              <w:t>Széchenyi István Egyetemen működő AUDI Hungária Belső Égésű Motorok Tanszék fejlesztésének támogatása</w:t>
            </w:r>
          </w:p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Széchenyi István Egyetem nevében Dr. Szekeres Tamás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325.008.000,- Ft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Győr, 2011. február 24.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Nagy Tamás</w:t>
      </w:r>
    </w:p>
    <w:p>
      <w:pPr>
        <w:pStyle w:val="Normal"/>
        <w:rPr/>
      </w:pPr>
      <w:r>
        <w:rPr/>
        <w:t>Főosztályvezető</w:t>
      </w:r>
    </w:p>
    <w:sectPr>
      <w:type w:val="nextPage"/>
      <w:pgSz w:w="11906" w:h="16838"/>
      <w:pgMar w:left="1134" w:right="1134" w:header="720" w:top="539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2011-03-01T10:08:00Z</dcterms:created>
  <dc:creator>GMelinda</dc:creator>
  <dc:description/>
  <cp:keywords/>
  <dc:language>en-GB</dc:language>
  <cp:lastModifiedBy>Papp Zsolt</cp:lastModifiedBy>
  <dcterms:modified xsi:type="dcterms:W3CDTF">2011-03-01T10:08:00Z</dcterms:modified>
  <cp:revision>2</cp:revision>
  <dc:subject/>
  <dc:title>TÁJÉKOZTATÓ A GYŐR MEGYEI JOGÚ VÁROS ÖNKORMÁNYZAT  </dc:title>
</cp:coreProperties>
</file>