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2014. év december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78" w:type="dxa"/>
        <w:jc w:val="start"/>
        <w:tblInd w:w="-118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13"/>
        <w:gridCol w:w="2309"/>
        <w:gridCol w:w="2310"/>
        <w:gridCol w:w="2338"/>
        <w:gridCol w:w="8"/>
      </w:tblGrid>
      <w:tr>
        <w:trPr>
          <w:trHeight w:val="406" w:hRule="atLeast"/>
        </w:trPr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650 kg sikosság mentesítő anyag.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PERO-SAFE Kft</w:t>
            </w:r>
          </w:p>
          <w:p>
            <w:pPr>
              <w:pStyle w:val="Normal"/>
              <w:jc w:val="center"/>
              <w:rPr/>
            </w:pPr>
            <w:r>
              <w:rPr/>
              <w:t>9028 Győr, Búzakalász u. 26.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109.200,- Ft</w:t>
            </w:r>
          </w:p>
        </w:tc>
        <w:tc>
          <w:tcPr>
            <w:tcW w:w="23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2014.12.01-12.02. </w:t>
            </w:r>
          </w:p>
        </w:tc>
      </w:tr>
      <w:tr>
        <w:trPr>
          <w:trHeight w:val="1218" w:hRule="atLeast"/>
        </w:trPr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Cuha utcai bölcsőde részére festékanyagok.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Schwarcz Bau Bt.</w:t>
            </w:r>
          </w:p>
          <w:p>
            <w:pPr>
              <w:pStyle w:val="Normal"/>
              <w:jc w:val="center"/>
              <w:rPr/>
            </w:pPr>
            <w:r>
              <w:rPr/>
              <w:t>9023 Győr, Mészáros L. u. 8.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106.764,- Ft</w:t>
            </w:r>
          </w:p>
        </w:tc>
        <w:tc>
          <w:tcPr>
            <w:tcW w:w="23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2014.12.08-12.31. 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Szállítási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Munka- és védőruha.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MIL-Land Kft</w:t>
            </w:r>
          </w:p>
          <w:p>
            <w:pPr>
              <w:pStyle w:val="Normal"/>
              <w:jc w:val="center"/>
              <w:rPr/>
            </w:pPr>
            <w:r>
              <w:rPr/>
              <w:t>1171 Budapest, Szárazhegy út 70.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3.026.142,- Ft</w:t>
            </w:r>
          </w:p>
        </w:tc>
        <w:tc>
          <w:tcPr>
            <w:tcW w:w="23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2014.12.04-12.31.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Szállítási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Munkavédelmi eszközök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Safety Mv. Munkavédelmi Kft</w:t>
            </w:r>
          </w:p>
          <w:p>
            <w:pPr>
              <w:pStyle w:val="Normal"/>
              <w:jc w:val="center"/>
              <w:rPr/>
            </w:pPr>
            <w:r>
              <w:rPr/>
              <w:t>9028 Győr, Szent Imre u. 172/A.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123.701,- Ft</w:t>
            </w:r>
          </w:p>
        </w:tc>
        <w:tc>
          <w:tcPr>
            <w:tcW w:w="23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2014.12.04-12.31.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Tulipo szőnyegek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Intertourist 3000 Kft (DIEGO Áruház)</w:t>
            </w:r>
          </w:p>
          <w:p>
            <w:pPr>
              <w:pStyle w:val="Normal"/>
              <w:jc w:val="center"/>
              <w:rPr/>
            </w:pPr>
            <w:r>
              <w:rPr/>
              <w:t>9025 Győr, Temető u. 6.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110.976,- Ft</w:t>
            </w:r>
          </w:p>
        </w:tc>
        <w:tc>
          <w:tcPr>
            <w:tcW w:w="23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2014.12.29-12.31.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Melegvízórák cseréje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Vesztergom Épületgépész Kft</w:t>
            </w:r>
          </w:p>
          <w:p>
            <w:pPr>
              <w:pStyle w:val="Normal"/>
              <w:jc w:val="center"/>
              <w:rPr/>
            </w:pPr>
            <w:r>
              <w:rPr/>
              <w:t>9026 Győr, Selmeci u. 5.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145.331,- Ft</w:t>
            </w:r>
          </w:p>
        </w:tc>
        <w:tc>
          <w:tcPr>
            <w:tcW w:w="23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2014. 11.17-12.31.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Megbízási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Egészségügyi feladatok ellátása.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Petz Aladár Megyei Oktató Kórház</w:t>
            </w:r>
          </w:p>
          <w:p>
            <w:pPr>
              <w:pStyle w:val="Normal"/>
              <w:jc w:val="center"/>
              <w:rPr/>
            </w:pPr>
            <w:r>
              <w:rPr/>
              <w:t>9024 Győr, Vasvári P. u. 2-4.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2.954.331,- Ft</w:t>
            </w:r>
          </w:p>
        </w:tc>
        <w:tc>
          <w:tcPr>
            <w:tcW w:w="23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2015.01.01-2015.12.31.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január 8.</w:t>
      </w:r>
    </w:p>
    <w:p>
      <w:pPr>
        <w:pStyle w:val="Normal"/>
        <w:jc w:val="both"/>
        <w:rPr/>
      </w:pPr>
      <w:r>
        <w:rPr/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Bartalné dr. Tóth Györgyi sk.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 xml:space="preserve">              Igazgató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Győr Megyei Jogú Város Önkormányzata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Egyesített Bölcsődei Intézményhálózat</w:t>
      </w:r>
    </w:p>
    <w:p>
      <w:pPr>
        <w:pStyle w:val="Heade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jc w:val="center"/>
        <w:rPr/>
      </w:pPr>
      <w:r>
        <w:rPr/>
        <w:t>9023 Győr, Kodály Z. u. 18.,  Tel.: 06-96/412-500,   Tel./fax: 06-96/418-962</w:t>
      </w:r>
    </w:p>
    <w:p>
      <w:pPr>
        <w:pStyle w:val="Normal"/>
        <w:jc w:val="both"/>
        <w:rPr>
          <w:b/>
          <w:b/>
        </w:rPr>
      </w:pPr>
      <w:r>
        <w:rPr>
          <w:b/>
        </w:rPr>
        <w:t>___________________________________________________________________________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Győr Megyei Jogú Város Önkormányzata</w:t>
        <w:tab/>
        <w:tab/>
        <w:tab/>
        <w:tab/>
        <w:t>Ikt.sz: 11/2015.</w:t>
      </w:r>
    </w:p>
    <w:p>
      <w:pPr>
        <w:pStyle w:val="Normal"/>
        <w:jc w:val="both"/>
        <w:rPr>
          <w:b/>
          <w:b/>
        </w:rPr>
      </w:pPr>
      <w:r>
        <w:rPr>
          <w:b/>
        </w:rPr>
        <w:t>Népjóléti Osztály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9021 Győr, Honvéd liget 1.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Vámosiné Marosi Katalin</w:t>
      </w:r>
    </w:p>
    <w:p>
      <w:pPr>
        <w:pStyle w:val="Normal"/>
        <w:jc w:val="both"/>
        <w:rPr>
          <w:b/>
          <w:b/>
        </w:rPr>
      </w:pPr>
      <w:r>
        <w:rPr>
          <w:b/>
        </w:rPr>
        <w:t>részére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>Tárgy:</w:t>
      </w:r>
      <w:r>
        <w:rPr>
          <w:b/>
        </w:rPr>
        <w:t xml:space="preserve"> Adatszolgáltatás az Üvegzseb törvényhez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Tisztelt Vámosiné Marosi Katalin!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Mellékelten megküldöm az intézményhálózat részéről 2014. december hónapra az újonnan kötött szerződéseket, az „Üvegzseb” törvényhez, további szíves felhasználásra.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január 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Tisztelettel: 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3540" w:end="0" w:firstLine="708"/>
        <w:jc w:val="both"/>
        <w:rPr/>
      </w:pPr>
      <w:r>
        <w:rPr/>
        <w:t>Bartalné dr. Tóth Györgyi sk.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EBI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hu-HU" w:eastAsia="zxx" w:bidi="ar-SA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2014-12-13T11:02:00Z</dcterms:created>
  <dc:creator>Gyermeklánc</dc:creator>
  <dc:description/>
  <dc:language>en-GB</dc:language>
  <cp:lastModifiedBy>EBI-igazgatas</cp:lastModifiedBy>
  <cp:lastPrinted>2014-12-13T10:44:00Z</cp:lastPrinted>
  <dcterms:modified xsi:type="dcterms:W3CDTF">2015-01-09T08:53:00Z</dcterms:modified>
  <cp:revision>21</cp:revision>
  <dc:subject/>
  <dc:title>Tájékoztató a Győr Megyei Jogú Város Önkormányzata</dc:title>
</cp:coreProperties>
</file>