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Tájékoztató az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Egyesített Bölcsődei Intézményhálózata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 xml:space="preserve">(az Áht. 15/A §-a és a 15/B §-a, valamint a költségvetési rendelet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>24. §, (17)</w:t>
      </w:r>
      <w:r>
        <w:rPr>
          <w:rStyle w:val="Emphasis"/>
          <w:rFonts w:cs="Arial" w:ascii="Arial" w:hAnsi="Arial"/>
          <w:b/>
          <w:bCs/>
          <w:sz w:val="20"/>
          <w:szCs w:val="20"/>
          <w:u w:val="single"/>
        </w:rPr>
        <w:t xml:space="preserve">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 xml:space="preserve">bekezdés </w:t>
      </w:r>
      <w:r>
        <w:rPr>
          <w:b/>
          <w:sz w:val="28"/>
          <w:szCs w:val="28"/>
        </w:rPr>
        <w:t>alapján)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2012. év április hónap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244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8"/>
        <w:gridCol w:w="2308"/>
        <w:gridCol w:w="2309"/>
        <w:gridCol w:w="2319"/>
      </w:tblGrid>
      <w:tr>
        <w:trPr>
          <w:trHeight w:val="406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megnevezése, típusa, tárgya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Forgalom nettó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időtartama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Szállítói szerződés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Tárgy: irodaszer szállítása 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PBS Hungária Kft.</w:t>
            </w:r>
          </w:p>
          <w:p>
            <w:pPr>
              <w:pStyle w:val="Normal"/>
              <w:jc w:val="center"/>
              <w:rPr/>
            </w:pPr>
            <w:r>
              <w:rPr/>
              <w:t>9028 Győr, Fehérvári út 75.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105.681Ft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2012.04.10-05.31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2012. április 12.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Bartalné dr. Tóth Györgyi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ab/>
        <w:t>igazgató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  <w:font w:name="Arial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Bekezdsalapbettpusa">
    <w:name w:val="Bekezdés alapbetűtípusa"/>
    <w:qFormat/>
    <w:rPr/>
  </w:style>
  <w:style w:type="character" w:styleId="Emphasis">
    <w:name w:val="Emphasis"/>
    <w:basedOn w:val="Bekezdsalapbettpusa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2012-05-07T14:29:00Z</dcterms:created>
  <dc:creator>Gyermeklánc</dc:creator>
  <dc:description/>
  <cp:keywords/>
  <dc:language>en-GB</dc:language>
  <cp:lastModifiedBy>Papp Zsolt</cp:lastModifiedBy>
  <cp:lastPrinted>2012-04-12T10:44:00Z</cp:lastPrinted>
  <dcterms:modified xsi:type="dcterms:W3CDTF">2012-05-07T14:29:00Z</dcterms:modified>
  <cp:revision>2</cp:revision>
  <dc:subject/>
  <dc:title>Tájékoztató a Győr Megyei Jogú Város Önkormányzata</dc:title>
</cp:coreProperties>
</file>