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09"/>
        <w:gridCol w:w="2412"/>
        <w:gridCol w:w="2412"/>
      </w:tblGrid>
      <w:tr>
        <w:trPr>
          <w:tblHeader w:val="true"/>
        </w:trPr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Megbízási Szerződés</w:t>
              <w:br/>
              <w:t>Teljes körű jogi tanácsadás, munkajogi és közigazgatási peres és hatósági eljárásoknál</w:t>
              <w:br/>
              <w:t>jogi képviselet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Biczi és Tuzson Ügyvédi Iroda (1088 Bp. Rákóczi u. 11. III. 1.)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300e ft+ÁFA</w:t>
            </w:r>
          </w:p>
        </w:tc>
        <w:tc>
          <w:tcPr>
            <w:tcW w:w="2412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2007.március 2-től </w:t>
              <w:br/>
              <w:t>március 31-ig</w:t>
            </w:r>
          </w:p>
        </w:tc>
      </w:tr>
    </w:tbl>
    <w:p>
      <w:pPr>
        <w:pStyle w:val="NormlWeb"/>
        <w:rPr/>
      </w:pPr>
      <w:r>
        <w:rPr/>
        <w:br/>
        <w:t>Polgármesteri Kabinet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NormlWebChar">
    <w:name w:val="Normál (Web) Char"/>
    <w:basedOn w:val="Bekezdsalapbettpusa"/>
    <w:qFormat/>
    <w:rPr>
      <w:sz w:val="24"/>
      <w:szCs w:val="24"/>
      <w:lang w:val="hu-HU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widowControl/>
      <w:spacing w:before="280" w:after="280"/>
    </w:pPr>
    <w:rPr>
      <w:rFonts w:ascii="Times New Roman" w:hAnsi="Times New Roman" w:cs="Times New Roman"/>
      <w:b w:val="false"/>
      <w:bCs w:val="false"/>
      <w:i w:val="false"/>
      <w:iCs w:val="false"/>
      <w:outline w:val="false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2007-09-26T14:23:00Z</dcterms:created>
  <dc:creator>Papp Zsolt</dc:creator>
  <dc:description/>
  <cp:keywords/>
  <dc:language>en-GB</dc:language>
  <cp:lastModifiedBy>Papp Zsolt</cp:lastModifiedBy>
  <dcterms:modified xsi:type="dcterms:W3CDTF">2007-09-26T14:23:00Z</dcterms:modified>
  <cp:revision>2</cp:revision>
  <dc:subject/>
  <dc:title>TÁJÉKOZTATÓ A GYŐR MEGYEI JOGÚ VÁROS ÖNKORMÁNYZATA ÁLTAL KÖTÖTT SZERZŐDÉSEKRŐL</dc:title>
</cp:coreProperties>
</file>