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/>
      </w:pPr>
      <w:r>
        <w:rPr/>
        <w:br/>
        <w:br/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78" w:after="0"/>
        <w:jc w:val="center"/>
        <w:rPr/>
      </w:pPr>
      <w:r>
        <w:rPr/>
      </w:r>
    </w:p>
    <w:p>
      <w:pPr>
        <w:pStyle w:val="NormlWeb"/>
        <w:spacing w:before="278" w:after="0"/>
        <w:jc w:val="center"/>
        <w:rPr/>
      </w:pPr>
      <w:r>
        <w:rPr/>
      </w:r>
    </w:p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2010. augusztus hó</w:t>
      </w:r>
    </w:p>
    <w:p>
      <w:pPr>
        <w:pStyle w:val="NormlWeb"/>
        <w:spacing w:before="278" w:after="0"/>
        <w:jc w:val="center"/>
        <w:rPr/>
      </w:pPr>
      <w:r>
        <w:rPr/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7"/>
        <w:gridCol w:w="3226"/>
        <w:gridCol w:w="2784"/>
        <w:gridCol w:w="1495"/>
      </w:tblGrid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LHB Inter-Security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 Mécs László u. 7.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130.000,-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2010.12.31-ig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LHB Inter-Security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 Mécs László u. 7.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70.000,-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2010.12.31-ig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Szolgáltatási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Magyar Posta Zrt.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1138 Bp., Dunavirág u. 2-6.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4.260.000,- Ft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2010.08.13-2010.09.01.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>Reider Ernő csoportvezető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2010-09-22T06:37:00Z</dcterms:created>
  <dc:creator>Papp Zsolt</dc:creator>
  <dc:description/>
  <cp:keywords/>
  <dc:language>en-GB</dc:language>
  <cp:lastModifiedBy>Papp Zsolt</cp:lastModifiedBy>
  <dcterms:modified xsi:type="dcterms:W3CDTF">2010-09-22T06:38:00Z</dcterms:modified>
  <cp:revision>1</cp:revision>
  <dc:subject/>
  <dc:title/>
</cp:coreProperties>
</file>