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/>
      </w:pPr>
      <w:r>
        <w:rPr/>
        <w:t>(az Áht. 15/B. §-a, valamint a költségvetési rendelet 23. § (4)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ahoma" w:hAnsi="Tahoma"/>
        </w:rPr>
      </w:pPr>
      <w:r>
        <w:rPr/>
        <w:t>2007.  év   MÁRCIUS –JÚNIUS    hó</w:t>
      </w:r>
    </w:p>
    <w:p>
      <w:pPr>
        <w:pStyle w:val="Normal"/>
        <w:jc w:val="center"/>
        <w:rPr>
          <w:rFonts w:ascii="Tahoma" w:hAnsi="Tahoma"/>
        </w:rPr>
      </w:pPr>
      <w:r>
        <w:rPr>
          <w:rFonts w:ascii="Tahoma" w:hAnsi="Tahoma"/>
        </w:rPr>
      </w:r>
    </w:p>
    <w:tbl>
      <w:tblPr>
        <w:tblW w:w="9633" w:type="dxa"/>
        <w:jc w:val="start"/>
        <w:tblInd w:w="13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5"/>
        <w:gridCol w:w="2414"/>
        <w:gridCol w:w="2404"/>
        <w:gridCol w:w="2420"/>
      </w:tblGrid>
      <w:tr>
        <w:trPr>
          <w:tblHeader w:val="true"/>
        </w:trPr>
        <w:tc>
          <w:tcPr>
            <w:tcW w:w="23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megnevezése, típusa, tárgya</w:t>
            </w:r>
          </w:p>
        </w:tc>
        <w:tc>
          <w:tcPr>
            <w:tcW w:w="24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szerződő fél megnevezése</w:t>
            </w:r>
          </w:p>
        </w:tc>
        <w:tc>
          <w:tcPr>
            <w:tcW w:w="24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értéke</w:t>
            </w:r>
          </w:p>
        </w:tc>
        <w:tc>
          <w:tcPr>
            <w:tcW w:w="24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időtartama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Egyszerűsített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TRENDEX Infokommunikációs Zrt. 1116 Budapest, Barázda u. 38.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1.909.224,-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Szállítási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M&amp;S Marketing ésSzoftver Kft. 1124 Budapest, Vas Gereben u. 34.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111.956,-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Egyszerűsített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FEFO Kereskedelmi és Szolgáltató Kft. 1073 Budapest, Barcsay u. 6.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127.249,-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Egyszerűsített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EURO ONE Számítástechnikai ZRt. 1145 Budapest, Újvilág u. 50-52.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278.754,-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egyszeri 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Szállítási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Nádor Rendszerház 1141 Budapest, Öv. u. 3.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602.935,-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egyszeri 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Egyzerűsített szállítási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Professzionál Informatikai ZRt. 1117 Budapest, Sopron u. 19.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51.000,-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Egyszerűsített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Nádor Rendszerház 1141 Budapest, Öv u.3.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2.679.294,-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Egyszerűsített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FLASH’4 Számítástechnikai Kft. 8000 Székesfehérvár, Kertalja u. 12.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6.538,-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egyszeri</w:t>
            </w:r>
          </w:p>
          <w:p>
            <w:pPr>
              <w:pStyle w:val="Tblzattartalom"/>
              <w:rPr/>
            </w:pPr>
            <w:r>
              <w:rPr/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Szoftver szerződés 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Info-Rex 3G. 9024 Győr, Bartók B. u.22/a. 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7.859.880,- 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2007. május 01- től</w:t>
            </w:r>
          </w:p>
          <w:p>
            <w:pPr>
              <w:pStyle w:val="Tblzattartalom"/>
              <w:rPr/>
            </w:pPr>
            <w:r>
              <w:rPr/>
              <w:t>2008. április 30-ig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Egyszerűsített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Műszertechnika Rendszerház Kft. 1145 Budapest, Újvilág u. 50-52.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446.838,-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Egyszerűsített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Delta Elektronik Kft. 1033 Budapest, Szentendrei u. 39-53.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235.200,-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Egyszerűsített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Colorspectrum Kft. 1087 Budapest, Kőbányai u. 21.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320.998,-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 </w:t>
            </w:r>
            <w:r>
              <w:rPr/>
              <w:t>egyszeri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Egyszerűsített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WOSS Kft. 1141 Budapest, Fogarasi u. 98.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997.805,-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Szoftver felhaszn. jog átadásáról szóló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MÁK Csongrád M. Ter. Ig. Szeged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432.000,-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egyszeri</w:t>
            </w:r>
          </w:p>
        </w:tc>
      </w:tr>
      <w:tr>
        <w:trPr/>
        <w:tc>
          <w:tcPr>
            <w:tcW w:w="23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Szoftver felhaszn. jog. átadásáról szóló szerződés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MÁK, Eger</w:t>
            </w:r>
          </w:p>
        </w:tc>
        <w:tc>
          <w:tcPr>
            <w:tcW w:w="240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864.000,- Ft</w:t>
            </w:r>
          </w:p>
        </w:tc>
        <w:tc>
          <w:tcPr>
            <w:tcW w:w="24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egyszeri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2007-06-20T11:38:00Z</dcterms:created>
  <dc:creator>SiMaya</dc:creator>
  <dc:description/>
  <cp:keywords/>
  <dc:language>en-GB</dc:language>
  <cp:lastModifiedBy>Papp Zsolt</cp:lastModifiedBy>
  <cp:lastPrinted>2007-06-18T10:55:00Z</cp:lastPrinted>
  <dcterms:modified xsi:type="dcterms:W3CDTF">2007-06-20T11:38:00Z</dcterms:modified>
  <cp:revision>2</cp:revision>
  <dc:subject/>
  <dc:title>TÁJÉKOZTATÓ A GYŐR MEGYEI JOGÚ VÁROS ÖNKORMÁNYZATA ÁLTAL KÖTÖTT SZERZŐDÉSEKRŐL</dc:title>
</cp:coreProperties>
</file>