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jc w:val="start"/>
        <w:rPr>
          <w:sz w:val="24"/>
          <w:szCs w:val="24"/>
        </w:rPr>
      </w:pPr>
      <w:r>
        <w:rPr>
          <w:sz w:val="24"/>
          <w:szCs w:val="24"/>
        </w:rPr>
        <w:t>Kulturális Főosztály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TÁJÉKOZTATÓ A GYŐR MEGYEI JOGÚ VÁROS  ÖNKORMÁNYZATA</w:t>
      </w:r>
    </w:p>
    <w:p>
      <w:pPr>
        <w:pStyle w:val="Heading1"/>
        <w:rPr>
          <w:szCs w:val="24"/>
        </w:rPr>
      </w:pPr>
      <w:r>
        <w:rPr>
          <w:szCs w:val="24"/>
        </w:rPr>
        <w:t>ÁLTAL KÖTÖTT SZERZŐDÉSEKRŐL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/>
      </w:pPr>
      <w:r>
        <w:rPr>
          <w:sz w:val="24"/>
        </w:rPr>
        <w:t>( A 3/2012. (II.24.) GYMVÖ R. 24.§(17) bek. alapján.)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tbl>
      <w:tblPr>
        <w:tblW w:w="9173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049"/>
        <w:gridCol w:w="2374"/>
        <w:gridCol w:w="1629"/>
        <w:gridCol w:w="2121"/>
      </w:tblGrid>
      <w:tr>
        <w:trPr>
          <w:trHeight w:val="917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megnevezése,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4"/>
              </w:rPr>
              <w:t>típusa, tárgya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szerződő fél megnevezése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</w:rPr>
              <w:t>A szerződés bruttó értéke</w:t>
            </w:r>
          </w:p>
        </w:tc>
        <w:tc>
          <w:tcPr>
            <w:tcW w:w="21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időtartama</w:t>
            </w:r>
          </w:p>
        </w:tc>
      </w:tr>
      <w:tr>
        <w:trPr>
          <w:trHeight w:val="917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Pénzeszköz-átadási megállapodás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Kegyeleti felajánlás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Daganatos Betegekért Dél-Budán Alapítvány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100.000,-</w:t>
            </w:r>
          </w:p>
        </w:tc>
        <w:tc>
          <w:tcPr>
            <w:tcW w:w="21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2012. március 9. – április 30.</w:t>
            </w:r>
          </w:p>
        </w:tc>
      </w:tr>
      <w:tr>
        <w:trPr>
          <w:trHeight w:val="917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Pénzeszköz-átadási megállapodás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Hozzájárulás a Műhely folyóirat kiadási költségeihez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Műhely Folyóiratkiadó Nonprofit Kft.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1.500.000,-</w:t>
            </w:r>
          </w:p>
        </w:tc>
        <w:tc>
          <w:tcPr>
            <w:tcW w:w="21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2012. május 14. – december 15.</w:t>
            </w:r>
          </w:p>
        </w:tc>
      </w:tr>
      <w:tr>
        <w:trPr>
          <w:trHeight w:val="100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Felhasználási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Nyárnyitó koncert jogdíja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Artisjus 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336.803,-</w:t>
            </w:r>
          </w:p>
        </w:tc>
        <w:tc>
          <w:tcPr>
            <w:tcW w:w="21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2012. május 25. – augusztus 30.</w:t>
            </w:r>
          </w:p>
        </w:tc>
      </w:tr>
      <w:tr>
        <w:trPr>
          <w:trHeight w:val="110" w:hRule="atLeast"/>
        </w:trPr>
        <w:tc>
          <w:tcPr>
            <w:tcW w:w="304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Pénzeszköz-átadási megállapodások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Amatőr művészeti csoportok támogatása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Rába Fúvószenekari Egyesület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30.000,-</w:t>
            </w:r>
          </w:p>
        </w:tc>
        <w:tc>
          <w:tcPr>
            <w:tcW w:w="2121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2012. június 12. – december 15.</w:t>
            </w:r>
          </w:p>
        </w:tc>
      </w:tr>
      <w:tr>
        <w:trPr>
          <w:trHeight w:val="100" w:hRule="atLeast"/>
        </w:trPr>
        <w:tc>
          <w:tcPr>
            <w:tcW w:w="304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Friends Big Band Egyesület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100.000,-</w:t>
            </w:r>
          </w:p>
        </w:tc>
        <w:tc>
          <w:tcPr>
            <w:tcW w:w="2121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100" w:hRule="atLeast"/>
        </w:trPr>
        <w:tc>
          <w:tcPr>
            <w:tcW w:w="304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Palestrina Kórus Egyesület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30.000,-</w:t>
            </w:r>
          </w:p>
        </w:tc>
        <w:tc>
          <w:tcPr>
            <w:tcW w:w="2121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100" w:hRule="atLeast"/>
        </w:trPr>
        <w:tc>
          <w:tcPr>
            <w:tcW w:w="304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Német és Európai Kul-turális Egyesület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30.000,-</w:t>
            </w:r>
          </w:p>
        </w:tc>
        <w:tc>
          <w:tcPr>
            <w:tcW w:w="2121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100" w:hRule="atLeast"/>
        </w:trPr>
        <w:tc>
          <w:tcPr>
            <w:tcW w:w="304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Ady Endre Közműve-lődési Egyesület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40.000,-</w:t>
            </w:r>
          </w:p>
        </w:tc>
        <w:tc>
          <w:tcPr>
            <w:tcW w:w="2121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100" w:hRule="atLeast"/>
        </w:trPr>
        <w:tc>
          <w:tcPr>
            <w:tcW w:w="304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Győri Népművészeti Egyesület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50.000,-</w:t>
            </w:r>
          </w:p>
        </w:tc>
        <w:tc>
          <w:tcPr>
            <w:tcW w:w="2121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100" w:hRule="atLeast"/>
        </w:trPr>
        <w:tc>
          <w:tcPr>
            <w:tcW w:w="304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Győri Alkotók NAPÓRA Egyesülete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80.000,-</w:t>
            </w:r>
          </w:p>
        </w:tc>
        <w:tc>
          <w:tcPr>
            <w:tcW w:w="2121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100" w:hRule="atLeast"/>
        </w:trPr>
        <w:tc>
          <w:tcPr>
            <w:tcW w:w="304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Rába Néptáncegyüttes Egyesület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30.000,-</w:t>
            </w:r>
          </w:p>
        </w:tc>
        <w:tc>
          <w:tcPr>
            <w:tcW w:w="2121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100" w:hRule="atLeast"/>
        </w:trPr>
        <w:tc>
          <w:tcPr>
            <w:tcW w:w="304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Dimenzió Tánc Sport Egyesület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30.000,-</w:t>
            </w:r>
          </w:p>
        </w:tc>
        <w:tc>
          <w:tcPr>
            <w:tcW w:w="2121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100" w:hRule="atLeast"/>
        </w:trPr>
        <w:tc>
          <w:tcPr>
            <w:tcW w:w="304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Szigetközi Csutora Egyesület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50.000,-</w:t>
            </w:r>
          </w:p>
        </w:tc>
        <w:tc>
          <w:tcPr>
            <w:tcW w:w="2121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100" w:hRule="atLeast"/>
        </w:trPr>
        <w:tc>
          <w:tcPr>
            <w:tcW w:w="304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Vitus Közhasznú Nonprofit Kft.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40.000,-</w:t>
            </w:r>
          </w:p>
        </w:tc>
        <w:tc>
          <w:tcPr>
            <w:tcW w:w="2121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917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Marcalváros II-n köztéri alkotás elhelyezése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Három Pajzs Bt.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4.931.410,-</w:t>
            </w:r>
          </w:p>
        </w:tc>
        <w:tc>
          <w:tcPr>
            <w:tcW w:w="21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2012. augusztus 24. – október 30.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ind w:start="4956" w:hanging="0"/>
        <w:jc w:val="center"/>
        <w:rPr>
          <w:b/>
          <w:b/>
          <w:sz w:val="24"/>
        </w:rPr>
      </w:pPr>
      <w:r>
        <w:rPr>
          <w:b/>
          <w:sz w:val="24"/>
        </w:rPr>
        <w:t>Serfőző Istvánné</w:t>
      </w:r>
    </w:p>
    <w:p>
      <w:pPr>
        <w:pStyle w:val="Normal"/>
        <w:ind w:start="4956" w:hanging="0"/>
        <w:jc w:val="center"/>
        <w:rPr>
          <w:sz w:val="24"/>
        </w:rPr>
      </w:pPr>
      <w:r>
        <w:rPr>
          <w:sz w:val="24"/>
        </w:rPr>
        <w:t>főosztályvezető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361" w:right="1418" w:header="709" w:top="851" w:footer="72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2012-09-10T06:56:00Z</dcterms:created>
  <dc:creator>Varga Gyula</dc:creator>
  <dc:description/>
  <cp:keywords/>
  <dc:language>en-GB</dc:language>
  <cp:lastModifiedBy>Papp Zsolt</cp:lastModifiedBy>
  <cp:lastPrinted>2011-04-11T08:12:00Z</cp:lastPrinted>
  <dcterms:modified xsi:type="dcterms:W3CDTF">2012-09-10T06:56:00Z</dcterms:modified>
  <cp:revision>2</cp:revision>
  <dc:subject/>
  <dc:title>TÁJÉKOZTATÓ A GYŐR MEGYEI JOGÚ VÁROS  ÖNKORMÁNYZATA</dc:title>
</cp:coreProperties>
</file>