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22. § (14)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2009. év. 03.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Győr-M-Sopron Megyei Önkormányzat</w:t>
            </w:r>
          </w:p>
          <w:p>
            <w:pPr>
              <w:pStyle w:val="Tblzattartalom"/>
              <w:rPr/>
            </w:pPr>
            <w:r>
              <w:rPr/>
              <w:t>Petz Aladár Megyei Oktató Kórház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Gép-műszer beszerzés</w:t>
            </w:r>
          </w:p>
          <w:p>
            <w:pPr>
              <w:pStyle w:val="Tblzattartalom"/>
              <w:rPr/>
            </w:pPr>
            <w:r>
              <w:rPr/>
              <w:t>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25.000.000.-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Petz Aladár Megyei Oktató Kórház</w:t>
            </w:r>
          </w:p>
          <w:p>
            <w:pPr>
              <w:pStyle w:val="Tblzattartalom"/>
              <w:rPr/>
            </w:pPr>
            <w:r>
              <w:rPr/>
              <w:t>9024 Győr, Vasvári P. u. 2-4.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Győr-M-Sopron Megyei Önkormányzat</w:t>
            </w:r>
          </w:p>
          <w:p>
            <w:pPr>
              <w:pStyle w:val="Tblzattartalom"/>
              <w:rPr/>
            </w:pPr>
            <w:r>
              <w:rPr/>
              <w:t xml:space="preserve">Petz Aladár Megyei Oktató Kórház- Szent Imre úti szakrendelő 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Szent Imre úti szakrendelő felújítására, műszerezettségének javítására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10.000.000.-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Szent Imre úti szakrendelő</w:t>
            </w:r>
          </w:p>
          <w:p>
            <w:pPr>
              <w:pStyle w:val="Tblzattartalom"/>
              <w:rPr/>
            </w:pPr>
            <w:r>
              <w:rPr/>
              <w:t>9024 Győr, Szent Imre u. 41.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Mit tehetnék Érted? Autista Otthon Alapítvány 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Az Alapítvány működésének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ind w:start="283" w:hanging="0"/>
              <w:rPr/>
            </w:pPr>
            <w:r>
              <w:rPr/>
              <w:t>1.500.000.-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Autista Otthon Alapítvány</w:t>
            </w:r>
          </w:p>
          <w:p>
            <w:pPr>
              <w:pStyle w:val="Tblzattartalom"/>
              <w:rPr/>
            </w:pPr>
            <w:r>
              <w:rPr/>
              <w:t>9098 Mindszentpuszta, Ady E. u. 3.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Szívkatéterezés Győr Alapítvány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Az Alapítvány működésének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ind w:start="283" w:hanging="0"/>
              <w:rPr/>
            </w:pPr>
            <w:r>
              <w:rPr/>
              <w:t>5.000.000.-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Szívkatéterezés Győr Alapítvány</w:t>
            </w:r>
          </w:p>
          <w:p>
            <w:pPr>
              <w:pStyle w:val="Tblzattartalom"/>
              <w:rPr/>
            </w:pPr>
            <w:r>
              <w:rPr/>
              <w:t>9024 Győr, Vasvári P. u. 2-4.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2009. március 24.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 </w:t>
      </w:r>
      <w:r>
        <w:rPr/>
        <w:t>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</w:t>
      </w:r>
      <w:r>
        <w:br w:type="page"/>
      </w:r>
    </w:p>
    <w:p>
      <w:pPr>
        <w:pStyle w:val="Normal"/>
        <w:spacing w:lineRule="auto" w:line="360"/>
        <w:ind w:start="435" w:hanging="0"/>
        <w:jc w:val="center"/>
        <w:rPr/>
      </w:pPr>
      <w:r>
        <w:rPr/>
      </w:r>
    </w:p>
    <w:p>
      <w:pPr>
        <w:pStyle w:val="Normal"/>
        <w:spacing w:lineRule="auto" w:line="360"/>
        <w:ind w:start="435" w:hanging="0"/>
        <w:jc w:val="center"/>
        <w:rPr/>
      </w:pPr>
      <w:r>
        <w:rPr/>
      </w:r>
    </w:p>
    <w:p>
      <w:pPr>
        <w:pStyle w:val="Normal"/>
        <w:spacing w:lineRule="auto" w:line="360"/>
        <w:ind w:start="435" w:hanging="0"/>
        <w:jc w:val="center"/>
        <w:rPr/>
      </w:pPr>
      <w:r>
        <w:rPr/>
      </w:r>
    </w:p>
    <w:p>
      <w:pPr>
        <w:pStyle w:val="Normal"/>
        <w:spacing w:lineRule="auto" w:line="360"/>
        <w:ind w:start="435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NÉPJÓLÉTI OSZTÁLY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spacing w:lineRule="auto" w:line="360"/>
        <w:jc w:val="center"/>
        <w:rPr/>
      </w:pPr>
      <w:r>
        <w:rPr/>
        <w:t>(az Áht. 15/A. §-a és a 15/B §-a, valamint a költségvetési rendelet 23.§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2009. március  hó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080" w:type="dxa"/>
        <w:jc w:val="start"/>
        <w:tblInd w:w="-937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5"/>
        <w:gridCol w:w="2340"/>
        <w:gridCol w:w="2130"/>
        <w:gridCol w:w="2385"/>
      </w:tblGrid>
      <w:tr>
        <w:trPr/>
        <w:tc>
          <w:tcPr>
            <w:tcW w:w="32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A szerződés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megnevezése, típusa,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tárgya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szerződő fél</w:t>
            </w:r>
          </w:p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megnevezése</w:t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értéke</w:t>
            </w:r>
          </w:p>
        </w:tc>
        <w:tc>
          <w:tcPr>
            <w:tcW w:w="2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időtartama</w:t>
            </w:r>
          </w:p>
        </w:tc>
      </w:tr>
      <w:tr>
        <w:trPr/>
        <w:tc>
          <w:tcPr>
            <w:tcW w:w="32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Tárgy: Termálfürdő bérletek   </w:t>
            </w:r>
          </w:p>
          <w:p>
            <w:pPr>
              <w:pStyle w:val="Normal"/>
              <w:rPr/>
            </w:pPr>
            <w:r>
              <w:rPr>
                <w:rFonts w:cs="Times New Roman"/>
              </w:rPr>
              <w:t xml:space="preserve">            </w:t>
            </w:r>
            <w:r>
              <w:rPr/>
              <w:t>vásárlása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Rába Quelle Kft. </w:t>
            </w:r>
          </w:p>
          <w:p>
            <w:pPr>
              <w:pStyle w:val="Normal"/>
              <w:snapToGrid w:val="false"/>
              <w:rPr/>
            </w:pPr>
            <w:r>
              <w:rPr/>
              <w:t>9025 Győr, Fürdőtér</w:t>
            </w:r>
          </w:p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26.400.000.- Ft</w:t>
            </w:r>
          </w:p>
        </w:tc>
        <w:tc>
          <w:tcPr>
            <w:tcW w:w="2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2009.02. 28-tól</w:t>
            </w:r>
          </w:p>
          <w:p>
            <w:pPr>
              <w:pStyle w:val="Normal"/>
              <w:rPr/>
            </w:pPr>
            <w:r>
              <w:rPr/>
              <w:t>2010.02. 28-ig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2009. március 24.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Páternoszter Piroska </w:t>
      </w:r>
    </w:p>
    <w:p>
      <w:pPr>
        <w:pStyle w:val="Normal"/>
        <w:rPr/>
      </w:pPr>
      <w:r>
        <w:rPr>
          <w:rFonts w:cs="Times New Roman"/>
        </w:rPr>
        <w:t xml:space="preserve">    </w:t>
      </w: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2009-03-19T10:21:00Z</dcterms:created>
  <dc:creator>Győr Megyei Jogú Város</dc:creator>
  <dc:description/>
  <cp:keywords/>
  <dc:language>en-GB</dc:language>
  <cp:lastModifiedBy>Győr Megyei Jogú Város</cp:lastModifiedBy>
  <dcterms:modified xsi:type="dcterms:W3CDTF">2009-03-19T10:23:00Z</dcterms:modified>
  <cp:revision>1</cp:revision>
  <dc:subject/>
  <dc:title>TÁJÉKOZTATÓ A GYŐR MEGYEI JOGÚ VÁROS ÖNKORMÁNYZATA ÁLTAL NYÚJTOTT TÁMOGATÁSOKRÓL</dc:title>
</cp:coreProperties>
</file>