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TÁJÉKOZTATÓ A GYŐR MEGYEI JOGÚ VÁROS ÖNKORMÁNYZAT </w:t>
      </w:r>
    </w:p>
    <w:p>
      <w:pPr>
        <w:pStyle w:val="NormlWeb"/>
        <w:spacing w:lineRule="auto" w:line="360"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NÉPJÓLÉTI OSZTÁLY</w:t>
      </w:r>
    </w:p>
    <w:p>
      <w:pPr>
        <w:pStyle w:val="NormlWeb"/>
        <w:spacing w:lineRule="auto" w:line="360" w:before="280" w:after="0"/>
        <w:jc w:val="center"/>
        <w:rPr/>
      </w:pPr>
      <w:r>
        <w:rPr/>
        <w:t>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15/A.§-a és a 15/B §-a, valamint a költségvetési rendelet 23.§ (3) bek. alapján)</w:t>
      </w:r>
    </w:p>
    <w:p>
      <w:pPr>
        <w:pStyle w:val="NormlWeb"/>
        <w:spacing w:before="280" w:after="0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2009. Október hó </w:t>
      </w:r>
    </w:p>
    <w:p>
      <w:pPr>
        <w:pStyle w:val="NormlWeb"/>
        <w:spacing w:before="280" w:after="0"/>
        <w:rPr/>
      </w:pPr>
      <w:r>
        <w:rPr/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173"/>
        <w:gridCol w:w="2174"/>
        <w:gridCol w:w="1992"/>
        <w:gridCol w:w="2733"/>
      </w:tblGrid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 szerződés megnevezése,típusa,</w:t>
            </w:r>
          </w:p>
          <w:p>
            <w:pPr>
              <w:pStyle w:val="Normal"/>
              <w:spacing w:before="2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tárgya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szerződő fél megnevezése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szerződés értéke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szerződés időtartama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KEF titkár 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Baczoni-Oláh Dóra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30 000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20009. október 12- 30-ig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Média Klub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Bagyinszki Péter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10 000 Ft/alk.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október 26-dec. 21-ig</w:t>
            </w:r>
          </w:p>
          <w:p>
            <w:pPr>
              <w:pStyle w:val="Normal"/>
              <w:spacing w:before="280" w:after="0"/>
              <w:rPr/>
            </w:pPr>
            <w:r>
              <w:rPr/>
              <w:t>( 3 alkalom)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al"/>
              <w:spacing w:before="280" w:after="0"/>
              <w:rPr/>
            </w:pPr>
            <w:r>
              <w:rPr/>
              <w:t>Party-Szervíz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El Paso Sporttánc Egyesület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12 000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október 16.</w:t>
            </w:r>
          </w:p>
        </w:tc>
      </w:tr>
      <w:tr>
        <w:trPr>
          <w:trHeight w:val="975" w:hRule="atLeast"/>
        </w:trPr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Party-Szervíz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Baczoni-Oláh Dóra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12 000 Ft/alk.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2009. október 16., </w:t>
            </w:r>
          </w:p>
          <w:p>
            <w:pPr>
              <w:pStyle w:val="Normal"/>
              <w:spacing w:before="280" w:after="0"/>
              <w:rPr/>
            </w:pPr>
            <w:r>
              <w:rPr/>
              <w:t>2009. november 29. ( 2 alk.)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2082"/>
        <w:gridCol w:w="2264"/>
        <w:gridCol w:w="1993"/>
        <w:gridCol w:w="2733"/>
      </w:tblGrid>
      <w:tr>
        <w:trPr/>
        <w:tc>
          <w:tcPr>
            <w:tcW w:w="20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al"/>
              <w:spacing w:before="280" w:after="0"/>
              <w:rPr/>
            </w:pPr>
            <w:r>
              <w:rPr/>
              <w:t>Party Szervíz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Bagyinszki Péter</w:t>
            </w:r>
          </w:p>
        </w:tc>
        <w:tc>
          <w:tcPr>
            <w:tcW w:w="19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12 000 Ft/alk.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október 30.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2009. december 11. </w:t>
            </w:r>
          </w:p>
          <w:p>
            <w:pPr>
              <w:pStyle w:val="Normal"/>
              <w:spacing w:before="280" w:after="0"/>
              <w:rPr/>
            </w:pPr>
            <w:r>
              <w:rPr/>
              <w:t>(2 alk.)</w:t>
            </w:r>
          </w:p>
        </w:tc>
      </w:tr>
      <w:tr>
        <w:trPr/>
        <w:tc>
          <w:tcPr>
            <w:tcW w:w="20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al"/>
              <w:spacing w:before="280" w:after="0"/>
              <w:rPr/>
            </w:pPr>
            <w:r>
              <w:rPr/>
              <w:t>Party -Szervíz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Bogdán Mónika</w:t>
            </w:r>
          </w:p>
        </w:tc>
        <w:tc>
          <w:tcPr>
            <w:tcW w:w="19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12 000 Ft/alk.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október 30.</w:t>
            </w:r>
          </w:p>
          <w:p>
            <w:pPr>
              <w:pStyle w:val="Normal"/>
              <w:spacing w:before="280" w:after="0"/>
              <w:rPr/>
            </w:pPr>
            <w:r>
              <w:rPr/>
              <w:t>2009. december 18.</w:t>
            </w:r>
          </w:p>
          <w:p>
            <w:pPr>
              <w:pStyle w:val="Normal"/>
              <w:spacing w:before="280" w:after="0"/>
              <w:rPr/>
            </w:pPr>
            <w:r>
              <w:rPr/>
              <w:t>(2 alk.)</w:t>
            </w:r>
          </w:p>
        </w:tc>
      </w:tr>
      <w:tr>
        <w:trPr/>
        <w:tc>
          <w:tcPr>
            <w:tcW w:w="20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Megrendelés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al"/>
              <w:spacing w:before="280" w:after="0"/>
              <w:rPr/>
            </w:pPr>
            <w:r>
              <w:rPr/>
              <w:t>Szakkönyvek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Barbori Bt.</w:t>
            </w:r>
          </w:p>
        </w:tc>
        <w:tc>
          <w:tcPr>
            <w:tcW w:w="19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11 220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október 20.</w:t>
            </w:r>
          </w:p>
        </w:tc>
      </w:tr>
      <w:tr>
        <w:trPr/>
        <w:tc>
          <w:tcPr>
            <w:tcW w:w="20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Prevenciós oktatás 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Bagyinszki Péter</w:t>
            </w:r>
          </w:p>
        </w:tc>
        <w:tc>
          <w:tcPr>
            <w:tcW w:w="19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20 000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október 12-22-ig</w:t>
            </w:r>
          </w:p>
        </w:tc>
      </w:tr>
      <w:tr>
        <w:trPr/>
        <w:tc>
          <w:tcPr>
            <w:tcW w:w="20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Megbízás 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Elemzés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Burkali Bernadett</w:t>
            </w:r>
          </w:p>
        </w:tc>
        <w:tc>
          <w:tcPr>
            <w:tcW w:w="19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40 000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október 20-30-ig</w:t>
            </w:r>
          </w:p>
        </w:tc>
      </w:tr>
      <w:tr>
        <w:trPr/>
        <w:tc>
          <w:tcPr>
            <w:tcW w:w="20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Előadás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Barbori. BT.</w:t>
            </w:r>
          </w:p>
        </w:tc>
        <w:tc>
          <w:tcPr>
            <w:tcW w:w="19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35 000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október 20.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2082"/>
        <w:gridCol w:w="2264"/>
        <w:gridCol w:w="1993"/>
        <w:gridCol w:w="2733"/>
      </w:tblGrid>
      <w:tr>
        <w:trPr/>
        <w:tc>
          <w:tcPr>
            <w:tcW w:w="20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Elemzés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Balázsdi- Szabóné Kiss Mária</w:t>
            </w:r>
          </w:p>
        </w:tc>
        <w:tc>
          <w:tcPr>
            <w:tcW w:w="19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30 000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október 26-30-ig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tbl>
      <w:tblPr>
        <w:tblW w:w="9255" w:type="dxa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2176"/>
        <w:gridCol w:w="2254"/>
        <w:gridCol w:w="2016"/>
        <w:gridCol w:w="2809"/>
      </w:tblGrid>
      <w:tr>
        <w:trPr/>
        <w:tc>
          <w:tcPr>
            <w:tcW w:w="217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 Idősek Világnapja fellépés</w:t>
            </w:r>
          </w:p>
        </w:tc>
        <w:tc>
          <w:tcPr>
            <w:tcW w:w="225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Győri Művészeti és Fesztiválközpont -</w:t>
            </w:r>
          </w:p>
          <w:p>
            <w:pPr>
              <w:pStyle w:val="Normal"/>
              <w:spacing w:before="280" w:after="0"/>
              <w:rPr/>
            </w:pPr>
            <w:r>
              <w:rPr/>
              <w:t>Bakacsi Béla fellépése</w:t>
            </w:r>
          </w:p>
        </w:tc>
        <w:tc>
          <w:tcPr>
            <w:tcW w:w="20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100 000 Ft + ÁFA</w:t>
            </w:r>
          </w:p>
        </w:tc>
        <w:tc>
          <w:tcPr>
            <w:tcW w:w="280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október 15.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>
          <w:sz w:val="27"/>
          <w:szCs w:val="27"/>
        </w:rPr>
      </w:pPr>
      <w:r>
        <w:rPr>
          <w:sz w:val="27"/>
          <w:szCs w:val="27"/>
        </w:rPr>
        <w:t xml:space="preserve">Győr, 2009. október 30. </w:t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>
          <w:sz w:val="27"/>
          <w:szCs w:val="27"/>
        </w:rPr>
      </w:pPr>
      <w:r>
        <w:rPr>
          <w:sz w:val="27"/>
          <w:szCs w:val="27"/>
        </w:rPr>
        <w:t>Páternoszter Piroska</w:t>
      </w:r>
    </w:p>
    <w:p>
      <w:pPr>
        <w:pStyle w:val="NormlWeb"/>
        <w:spacing w:before="280" w:after="0"/>
        <w:rPr>
          <w:sz w:val="27"/>
          <w:szCs w:val="27"/>
        </w:rPr>
      </w:pPr>
      <w:r>
        <w:rPr>
          <w:sz w:val="27"/>
          <w:szCs w:val="27"/>
        </w:rPr>
        <w:t>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2009-11-09T08:38:00Z</dcterms:created>
  <dc:creator>Papp Zsolt</dc:creator>
  <dc:description/>
  <cp:keywords/>
  <dc:language>en-GB</dc:language>
  <cp:lastModifiedBy>Papp Zsolt</cp:lastModifiedBy>
  <dcterms:modified xsi:type="dcterms:W3CDTF">2009-11-09T08:39:00Z</dcterms:modified>
  <cp:revision>1</cp:revision>
  <dc:subject/>
  <dc:title>TÁJÉKOZTATÓ A GYŐR MEGYEI JOGÚ VÁROS ÖNKORMÁNYZAT </dc:title>
</cp:coreProperties>
</file>