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Style w:val="StrongEmphasis"/>
          <w:rFonts w:cs="Verdana" w:ascii="Verdana" w:hAnsi="Verdana"/>
          <w:color w:val="000000"/>
          <w:sz w:val="17"/>
          <w:szCs w:val="17"/>
        </w:rPr>
        <w:t xml:space="preserve">Önkormányzati és Ügyvitelszervezési Iroda Külső Kapcsolatok csoportja a Civil szervezeti és alapítványi keret c. költségvetési előirányzatból 2005. június 1-től június 30-ig kötött megállapodások </w:t>
      </w:r>
    </w:p>
    <w:p>
      <w:pPr>
        <w:pStyle w:val="Normal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tbl>
      <w:tblPr>
        <w:tblW w:w="5000" w:type="pct"/>
        <w:jc w:val="start"/>
        <w:tblInd w:w="-97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2404"/>
        <w:gridCol w:w="3463"/>
        <w:gridCol w:w="1656"/>
        <w:gridCol w:w="1549"/>
      </w:tblGrid>
      <w:tr>
        <w:trPr>
          <w:tblHeader w:val="true"/>
        </w:trPr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támogatás összege (e.Ft)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támogatott program  megvalósítási helye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Kertészek és Kertbarátok Győr Városi Egyesülete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Együtt Gyárvárosért Egyesület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1944-45-ben Volt Magyar Katonák Győr-Moson-Sopron Megyei Szervezete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Öregcserkész Baráti Kör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Bencés Diákok Győri Egyesülete 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Országos Fogyasztóvédelmi Egyesület Győr Városi Szervezete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„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Gyirmótért” Alapítvány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gyirmóti városrész esztétikai arculatának javítása, rendezvények lebonyolítása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Família Nagycsaládosok Egyesülete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Gyermekek részére szervezett vetélkedők, ügyességi versenyek díjazásának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Kisalföld Egyesületi Társaskör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Civil Szövetség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Társadalmi Egyesülések Szövetsége Győr-M.S. Megyei Szervezete</w:t>
            </w:r>
          </w:p>
        </w:tc>
        <w:tc>
          <w:tcPr>
            <w:tcW w:w="3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15</w:t>
            </w:r>
          </w:p>
        </w:tc>
        <w:tc>
          <w:tcPr>
            <w:tcW w:w="15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al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tbl>
      <w:tblPr>
        <w:tblW w:w="5000" w:type="pct"/>
        <w:jc w:val="start"/>
        <w:tblInd w:w="-97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2372"/>
        <w:gridCol w:w="3502"/>
        <w:gridCol w:w="1651"/>
        <w:gridCol w:w="1547"/>
      </w:tblGrid>
      <w:tr>
        <w:trPr>
          <w:tblHeader w:val="true"/>
        </w:trPr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támogatás összege (e.Ft)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támogatott program  megvalósítási helye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Civil Kontroll Egyesület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működési költségeinek támogatása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Magyar Vöröskereszt Győr-Szigeti Nyugdíjas Alapszervezete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Győr-Szigeti Alapszervezet működésének támogatása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Akvaristák Magyar-országi Egyesületének Győri Helyi Csoportja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„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Akváriumi kalandozások” c. kiállítás szervezési költségeinek támogatása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20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Fotóklub Egyesület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Fotóalbum kiadvány szerkesztési munkáinak, megjelentetésének támogatása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Cross Tennis Club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Működési támogatás és a rendezvények szervezési költségeinek támogatása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Győriek Egészségéért Közhasznú Egyesület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Pittsburgh-Győr partnerprogram fenntarthatóságának segítése, ehhez kapcsolódó programok finanszírozása és ezirányú pályázatokhoz az Egyesület számára önrész biztosítása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661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Vocational Academy Alapítvány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Sportnap rendezési költségeinek támogatása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Vocational Academy Alapítvány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„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kisebbségek integrációja a többségi társadalomban” c. tematikus tábor szervezési költségei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Tét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„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Lurkó” Győri Kórház Gyermek Osztályáért Alapítvány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Játszóház működési és anyag-költségeinek támogatása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15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Gyermeklánc Győri Bölcsődei Alapítvány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Játékeszközök beszerzése bölcsődék részére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Duna-Táj Magyar Izraeli Baráti Kör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szervezet működésének támogatása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Magyar-Izraeli Baráti Körök Dunamenti Szövetsége</w:t>
            </w:r>
          </w:p>
        </w:tc>
        <w:tc>
          <w:tcPr>
            <w:tcW w:w="35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szövetség működésének támogatása</w:t>
            </w:r>
          </w:p>
        </w:tc>
        <w:tc>
          <w:tcPr>
            <w:tcW w:w="16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al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Önkormányzati és Ügyvitelszervezési Iroda Külső Kapcsolatok csoportja </w:t>
      </w:r>
    </w:p>
    <w:p>
      <w:pPr>
        <w:pStyle w:val="Normal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  <w:r>
        <w:rPr>
          <w:rFonts w:cs="Verdana" w:ascii="Verdana" w:hAnsi="Verdana"/>
          <w:color w:val="000000"/>
          <w:sz w:val="17"/>
          <w:szCs w:val="17"/>
        </w:rPr>
        <w:t>A városban működő polgárőrségek támogatása c. költségvetési előirányzatból</w:t>
      </w:r>
    </w:p>
    <w:p>
      <w:pPr>
        <w:pStyle w:val="Normal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2005. június 1-től június 30-ig kötött megállapodások</w:t>
      </w:r>
    </w:p>
    <w:p>
      <w:pPr>
        <w:pStyle w:val="Normal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tbl>
      <w:tblPr>
        <w:tblW w:w="5000" w:type="pct"/>
        <w:jc w:val="start"/>
        <w:tblInd w:w="-97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1698"/>
        <w:gridCol w:w="4876"/>
        <w:gridCol w:w="1226"/>
        <w:gridCol w:w="1272"/>
      </w:tblGrid>
      <w:tr>
        <w:trPr/>
        <w:tc>
          <w:tcPr>
            <w:tcW w:w="16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48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1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támogatás összege (e.Ft)</w:t>
            </w:r>
          </w:p>
        </w:tc>
        <w:tc>
          <w:tcPr>
            <w:tcW w:w="12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támogatott program  megval. helye</w:t>
            </w:r>
          </w:p>
        </w:tc>
      </w:tr>
      <w:tr>
        <w:trPr/>
        <w:tc>
          <w:tcPr>
            <w:tcW w:w="16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Bácsai Polgárőr Egyesület</w:t>
            </w:r>
          </w:p>
        </w:tc>
        <w:tc>
          <w:tcPr>
            <w:tcW w:w="48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járőrtevékenységhez szükséges üzemanyag és felszerelések vásárlásának, irodahelyiség fenntartásának és karbantartásának, a működéshez kapcsolódó dologi költségek, valamint a rádiórendszer fenntartási költségeinek finanszírozása</w:t>
            </w:r>
          </w:p>
        </w:tc>
        <w:tc>
          <w:tcPr>
            <w:tcW w:w="1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</w:p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</w:p>
          <w:p>
            <w:pPr>
              <w:pStyle w:val="Normal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100</w:t>
            </w:r>
          </w:p>
        </w:tc>
        <w:tc>
          <w:tcPr>
            <w:tcW w:w="12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</w:p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</w:p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Lezárva: 2005. június 30.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2007-08-08T07:07:00Z</dcterms:created>
  <dc:creator>opeter</dc:creator>
  <dc:description/>
  <cp:keywords/>
  <dc:language>en-GB</dc:language>
  <cp:lastModifiedBy>opeter</cp:lastModifiedBy>
  <dcterms:modified xsi:type="dcterms:W3CDTF">2007-08-08T07:07:00Z</dcterms:modified>
  <cp:revision>1</cp:revision>
  <dc:subject/>
  <dc:title>Önkormányzati és Ügyvitelszervezési Iroda Külső Kapcsolatok csoportja a Civil szervezeti és alapítványi keret c</dc:title>
</cp:coreProperties>
</file>