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 JOGÚ VÁROS ÖNKORMÁNYZATA ÁLTAL KÖTÖTT SZERZŐDÉSEKRŐL</w:t>
      </w:r>
    </w:p>
    <w:p>
      <w:pPr>
        <w:pStyle w:val="Normal"/>
        <w:jc w:val="center"/>
        <w:rPr/>
      </w:pPr>
      <w:r>
        <w:rPr/>
        <w:t>(az Áht. 15/B. §-a, valamint a költségvetési rendelet 23. § (4)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2009. augusztus  hó</w:t>
      </w:r>
    </w:p>
    <w:p>
      <w:pPr>
        <w:pStyle w:val="Normal"/>
        <w:rPr/>
      </w:pPr>
      <w:r>
        <w:rPr>
          <w:rFonts w:eastAsia="Times New Roman" w:cs="Times New Roman"/>
        </w:rPr>
        <w:t xml:space="preserve"> </w:t>
      </w:r>
      <w:r>
        <w:rPr/>
        <w:tab/>
        <w:tab/>
        <w:tab/>
        <w:t xml:space="preserve">           </w:t>
        <w:tab/>
      </w:r>
    </w:p>
    <w:p>
      <w:pPr>
        <w:pStyle w:val="Normal"/>
        <w:jc w:val="center"/>
        <w:rPr/>
      </w:pPr>
      <w:r>
        <w:rPr/>
      </w:r>
    </w:p>
    <w:tbl>
      <w:tblPr>
        <w:tblW w:w="9572" w:type="dxa"/>
        <w:jc w:val="start"/>
        <w:tblInd w:w="6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231"/>
        <w:gridCol w:w="1948"/>
        <w:gridCol w:w="1620"/>
        <w:gridCol w:w="1773"/>
      </w:tblGrid>
      <w:tr>
        <w:trPr>
          <w:tblHeader w:val="true"/>
          <w:cantSplit w:val="true"/>
        </w:trPr>
        <w:tc>
          <w:tcPr>
            <w:tcW w:w="42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megnevezése, típusa, tárgya</w:t>
            </w:r>
          </w:p>
        </w:tc>
        <w:tc>
          <w:tcPr>
            <w:tcW w:w="194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szerződő fél megnevezése</w:t>
            </w:r>
          </w:p>
        </w:tc>
        <w:tc>
          <w:tcPr>
            <w:tcW w:w="1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értéke</w:t>
            </w:r>
          </w:p>
          <w:p>
            <w:pPr>
              <w:pStyle w:val="Tblzatfejlc"/>
              <w:rPr/>
            </w:pPr>
            <w:r>
              <w:rPr/>
              <w:t>(ÁFA nélkül)</w:t>
            </w:r>
          </w:p>
        </w:tc>
        <w:tc>
          <w:tcPr>
            <w:tcW w:w="177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szerződés időtartama</w:t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b/>
                <w:b/>
              </w:rPr>
            </w:pPr>
            <w:r>
              <w:rPr>
                <w:b/>
              </w:rPr>
              <w:t xml:space="preserve">Vállalkozási szerződés </w:t>
            </w:r>
          </w:p>
          <w:p>
            <w:pPr>
              <w:pStyle w:val="Tblzattartalom"/>
              <w:rPr/>
            </w:pPr>
            <w:r>
              <w:rPr/>
              <w:t>Győr városi IP – és analóg kamerarendszer üzemeltetése</w:t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Security  Patent Kft. </w:t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1.460.000,-Ft/év</w:t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2009.10.01-2017.09.30.</w:t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b/>
                <w:b/>
              </w:rPr>
            </w:pPr>
            <w:r>
              <w:rPr>
                <w:b/>
              </w:rPr>
              <w:t xml:space="preserve">Vállalkozási szerződés </w:t>
            </w:r>
          </w:p>
          <w:p>
            <w:pPr>
              <w:pStyle w:val="Tblzattartalom"/>
              <w:rPr/>
            </w:pPr>
            <w:r>
              <w:rPr/>
              <w:t xml:space="preserve">Győr, Zemplén u. járdaépítés és csapadékvíz elvezetés kivitelezése </w:t>
            </w:r>
          </w:p>
          <w:p>
            <w:pPr>
              <w:pStyle w:val="Tblzattartalom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Swietelsky Kft. </w:t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10.370.000,-</w:t>
            </w:r>
          </w:p>
          <w:p>
            <w:pPr>
              <w:pStyle w:val="Tblzattartalom"/>
              <w:rPr/>
            </w:pPr>
            <w:r>
              <w:rPr/>
              <w:t>(tartalékkeret nélkül)</w:t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2009.08,31-2009.11,30.</w:t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31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4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6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  <w:tc>
          <w:tcPr>
            <w:tcW w:w="177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1" w:footer="1134" w:bottom="1691" w:gutter="0"/>
      <w:pgNumType w:fmt="decimal"/>
      <w:formProt w:val="false"/>
      <w:textDirection w:val="lrTb"/>
      <w:docGrid w:type="default" w:linePitch="36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Szerződések-városépítés-2009-08- váll.szerz.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 xml:space="preserve">Városépítési Osztály 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Lucida Sans Unicode" w:cs="Tahoma"/>
      <w:color w:val="auto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character" w:styleId="Lbjegyzetkarakterek">
    <w:name w:val="Lábjegyzet-karakterek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WWAbsatzStandardschriftart">
    <w:name w:val="WW-Absatz-Standardschriftart"/>
    <w:qFormat/>
    <w:rPr/>
  </w:style>
  <w:style w:type="character" w:styleId="Vgjegyzetkarakterek">
    <w:name w:val="Végjegyzet-karaktere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uppressAutoHyphens w:val="true"/>
      <w:autoSpaceDE w:val="false"/>
      <w:spacing w:before="0" w:after="120"/>
    </w:pPr>
    <w:rPr>
      <w:rFonts w:ascii="Times New Roman" w:hAnsi="Times New Roman" w:eastAsia="Times New Roman" w:cs="Times New Roman"/>
      <w:color w:val="auto"/>
    </w:rPr>
  </w:style>
  <w:style w:type="paragraph" w:styleId="List">
    <w:name w:val="List"/>
    <w:basedOn w:val="TextBody"/>
    <w:pPr>
      <w:spacing w:before="0" w:after="0"/>
    </w:pPr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9"/>
        <w:tab w:val="center" w:pos="4818" w:leader="none"/>
        <w:tab w:val="right" w:pos="9637" w:leader="none"/>
      </w:tabs>
      <w:suppressAutoHyphens w:val="true"/>
      <w:autoSpaceDE w:val="false"/>
    </w:pPr>
    <w:rPr>
      <w:rFonts w:ascii="Times New Roman" w:hAnsi="Times New Roman" w:eastAsia="Times New Roman" w:cs="Times New Roman"/>
      <w:color w:val="auto"/>
    </w:rPr>
  </w:style>
  <w:style w:type="paragraph" w:styleId="Footer">
    <w:name w:val="Footer"/>
    <w:basedOn w:val="Normal"/>
    <w:pPr>
      <w:tabs>
        <w:tab w:val="clear" w:pos="709"/>
        <w:tab w:val="center" w:pos="4818" w:leader="none"/>
        <w:tab w:val="right" w:pos="9637" w:leader="none"/>
      </w:tabs>
      <w:suppressAutoHyphens w:val="true"/>
      <w:autoSpaceDE w:val="false"/>
    </w:pPr>
    <w:rPr>
      <w:rFonts w:ascii="Times New Roman" w:hAnsi="Times New Roman" w:eastAsia="Times New Roman" w:cs="Times New Roman"/>
      <w:color w:val="auto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Felirat">
    <w:name w:val="Felirat"/>
    <w:basedOn w:val="Normal"/>
    <w:qFormat/>
    <w:pPr>
      <w:suppressAutoHyphens w:val="true"/>
      <w:autoSpaceDE w:val="false"/>
      <w:spacing w:before="120" w:after="120"/>
    </w:pPr>
    <w:rPr>
      <w:rFonts w:ascii="Times New Roman" w:hAnsi="Times New Roman" w:eastAsia="Times New Roman" w:cs="Tahoma"/>
      <w:i/>
      <w:iCs/>
      <w:color w:val="auto"/>
      <w:sz w:val="20"/>
      <w:szCs w:val="20"/>
    </w:rPr>
  </w:style>
  <w:style w:type="paragraph" w:styleId="Footnot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Trgymutat">
    <w:name w:val="Tárgymutató"/>
    <w:basedOn w:val="Normal"/>
    <w:qFormat/>
    <w:pPr>
      <w:suppressAutoHyphens w:val="true"/>
      <w:autoSpaceDE w:val="false"/>
    </w:pPr>
    <w:rPr>
      <w:rFonts w:ascii="Times New Roman" w:hAnsi="Times New Roman" w:eastAsia="Times New Roman" w:cs="Tahoma"/>
      <w:color w:val="auto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2009-09-04T08:50:00Z</dcterms:created>
  <dc:creator>Czimmermann Imréné Tilda</dc:creator>
  <dc:description/>
  <cp:keywords/>
  <dc:language>en-GB</dc:language>
  <cp:lastModifiedBy>Czimmermann Imréné Tilda</cp:lastModifiedBy>
  <cp:lastPrinted>2009-06-04T14:44:00Z</cp:lastPrinted>
  <dcterms:modified xsi:type="dcterms:W3CDTF">2009-09-07T11:25:00Z</dcterms:modified>
  <cp:revision>5</cp:revision>
  <dc:subject/>
  <dc:title>TÁJÉKOZTATÓ A GYŐR MEGYEI  JOGÚ VÁROS ÖNKORMÁNYZATA ÁLTAL KÖTÖTT SZERZŐDÉSEKRŐL</dc:title>
</cp:coreProperties>
</file>