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0"/>
        <w:jc w:val="center"/>
        <w:rPr>
          <w:b/>
          <w:b/>
          <w:sz w:val="27"/>
        </w:rPr>
      </w:pPr>
      <w:r>
        <w:rPr>
          <w:b/>
          <w:sz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80" w:after="0"/>
        <w:jc w:val="center"/>
        <w:rPr>
          <w:b/>
          <w:b/>
          <w:sz w:val="27"/>
        </w:rPr>
      </w:pPr>
      <w:r>
        <w:rPr>
          <w:b/>
          <w:sz w:val="27"/>
        </w:rPr>
        <w:t>2009. január  hó</w:t>
      </w:r>
    </w:p>
    <w:p>
      <w:pPr>
        <w:pStyle w:val="NormlWeb"/>
        <w:spacing w:before="280" w:after="0"/>
        <w:rPr>
          <w:b/>
          <w:b/>
          <w:sz w:val="27"/>
        </w:rPr>
      </w:pPr>
      <w:r>
        <w:rPr>
          <w:b/>
          <w:sz w:val="27"/>
        </w:rPr>
      </w:r>
    </w:p>
    <w:tbl>
      <w:tblPr>
        <w:tblW w:w="9090" w:type="dxa"/>
        <w:jc w:val="start"/>
        <w:tblInd w:w="-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484"/>
        <w:gridCol w:w="3180"/>
        <w:gridCol w:w="2085"/>
        <w:gridCol w:w="2341"/>
      </w:tblGrid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A szerződés megnevezése </w:t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/>
            </w:pPr>
            <w:r>
              <w:rPr>
                <w:b/>
                <w:i/>
              </w:rPr>
              <w:t>A szerződés időtartam</w:t>
            </w:r>
          </w:p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Bérleti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Lindström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1107 Budapest, Fertő u.1/d.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1323,- Ft+Áfa/csere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 év</w:t>
            </w:r>
          </w:p>
        </w:tc>
      </w:tr>
    </w:tbl>
    <w:p>
      <w:pPr>
        <w:pStyle w:val="NormlWeb"/>
        <w:spacing w:before="280" w:after="0"/>
        <w:jc w:val="center"/>
        <w:rPr>
          <w:b/>
          <w:b/>
        </w:rPr>
      </w:pPr>
      <w:r>
        <w:rPr>
          <w:b/>
        </w:rPr>
      </w:r>
    </w:p>
    <w:p>
      <w:pPr>
        <w:pStyle w:val="NormlWeb"/>
        <w:spacing w:before="280" w:after="0"/>
        <w:jc w:val="center"/>
        <w:rPr>
          <w:b/>
          <w:b/>
          <w:sz w:val="27"/>
        </w:rPr>
      </w:pPr>
      <w:r>
        <w:rPr>
          <w:b/>
          <w:sz w:val="27"/>
        </w:rPr>
        <w:t>2009. március  hó</w:t>
      </w:r>
    </w:p>
    <w:p>
      <w:pPr>
        <w:pStyle w:val="NormlWeb"/>
        <w:spacing w:before="280" w:after="0"/>
        <w:rPr>
          <w:b/>
          <w:b/>
          <w:sz w:val="27"/>
        </w:rPr>
      </w:pPr>
      <w:r>
        <w:rPr>
          <w:b/>
          <w:sz w:val="27"/>
        </w:rPr>
      </w:r>
    </w:p>
    <w:tbl>
      <w:tblPr>
        <w:tblW w:w="9090" w:type="dxa"/>
        <w:jc w:val="start"/>
        <w:tblInd w:w="-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349"/>
        <w:gridCol w:w="3075"/>
        <w:gridCol w:w="3165"/>
        <w:gridCol w:w="1501"/>
      </w:tblGrid>
      <w:tr>
        <w:trPr/>
        <w:tc>
          <w:tcPr>
            <w:tcW w:w="1349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A szerződés megnevezése </w:t>
            </w:r>
          </w:p>
        </w:tc>
        <w:tc>
          <w:tcPr>
            <w:tcW w:w="307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316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150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</w:t>
            </w:r>
          </w:p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349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Vállalkozási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07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Győr MJV Tűzoltósága</w:t>
            </w:r>
          </w:p>
          <w:p>
            <w:pPr>
              <w:pStyle w:val="NormlWeb"/>
              <w:spacing w:before="0" w:after="0"/>
              <w:rPr/>
            </w:pPr>
            <w:r>
              <w:rPr>
                <w:b/>
                <w:i/>
              </w:rPr>
              <w:t>9021 Győr, Munkácsy M.u.4.</w:t>
            </w:r>
          </w:p>
        </w:tc>
        <w:tc>
          <w:tcPr>
            <w:tcW w:w="316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25.000,- Ft+Áfa/hó </w:t>
            </w:r>
          </w:p>
        </w:tc>
        <w:tc>
          <w:tcPr>
            <w:tcW w:w="150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határozatlan</w:t>
            </w:r>
          </w:p>
        </w:tc>
      </w:tr>
      <w:tr>
        <w:trPr/>
        <w:tc>
          <w:tcPr>
            <w:tcW w:w="1349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Vállalkozási</w:t>
            </w:r>
          </w:p>
        </w:tc>
        <w:tc>
          <w:tcPr>
            <w:tcW w:w="307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Farkas Alfréd ev.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9144 Kóny, Mátyás kir.u.47.</w:t>
            </w:r>
          </w:p>
        </w:tc>
        <w:tc>
          <w:tcPr>
            <w:tcW w:w="316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Csőszerelés nettó 1800 Ft/óra, lakatos munka nettó 1800 Ft/óra</w:t>
            </w:r>
          </w:p>
        </w:tc>
        <w:tc>
          <w:tcPr>
            <w:tcW w:w="150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2010.03.31-ig</w:t>
            </w:r>
          </w:p>
        </w:tc>
      </w:tr>
      <w:tr>
        <w:trPr/>
        <w:tc>
          <w:tcPr>
            <w:tcW w:w="1349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Vállalkozási</w:t>
            </w:r>
          </w:p>
        </w:tc>
        <w:tc>
          <w:tcPr>
            <w:tcW w:w="307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G.J.Bádogos és Színesfém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 Győr, Mészáros L.u.13/b</w:t>
            </w:r>
          </w:p>
        </w:tc>
        <w:tc>
          <w:tcPr>
            <w:tcW w:w="316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Tetőfedés és bádogozás nettó 1500 Ft/óra</w:t>
            </w:r>
          </w:p>
        </w:tc>
        <w:tc>
          <w:tcPr>
            <w:tcW w:w="150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2010.03.31-ig</w:t>
            </w:r>
          </w:p>
        </w:tc>
      </w:tr>
      <w:tr>
        <w:trPr/>
        <w:tc>
          <w:tcPr>
            <w:tcW w:w="1349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Vállalkozási</w:t>
            </w:r>
          </w:p>
        </w:tc>
        <w:tc>
          <w:tcPr>
            <w:tcW w:w="307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FMT Color Bt.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 Győr, Ifjúság krt.31.</w:t>
            </w:r>
          </w:p>
        </w:tc>
        <w:tc>
          <w:tcPr>
            <w:tcW w:w="316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/>
            </w:pPr>
            <w:r>
              <w:rPr>
                <w:b/>
                <w:i/>
              </w:rPr>
              <w:t>Kőműves munka nettó  2080 Ft/óra, festés egy rétegben 230Ft/nm, glettelés egy rétegben 130 Ft/nm, mázolás egy rétegben 380Ft/nm, szerkezetkezelés és gipszkartonozás 1500Ft/nm, asztalos munka2080Ft/óra</w:t>
            </w:r>
          </w:p>
        </w:tc>
        <w:tc>
          <w:tcPr>
            <w:tcW w:w="150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2010.03.31-ig</w:t>
            </w:r>
          </w:p>
        </w:tc>
      </w:tr>
      <w:tr>
        <w:trPr/>
        <w:tc>
          <w:tcPr>
            <w:tcW w:w="1349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Vállalkozási</w:t>
            </w:r>
          </w:p>
        </w:tc>
        <w:tc>
          <w:tcPr>
            <w:tcW w:w="307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NSB Magyarország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 Győr, Szigethy A.u.62.</w:t>
            </w:r>
          </w:p>
        </w:tc>
        <w:tc>
          <w:tcPr>
            <w:tcW w:w="316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/>
            </w:pPr>
            <w:r>
              <w:rPr>
                <w:b/>
                <w:i/>
              </w:rPr>
              <w:t>Hidegburkolás nettó 2200Ft/nm, alzatkiegyenlítés 700Ft/nm, vékonyvakolás 1000Ft/nm, melegburkolás 1400Ft/nm, csiszolás és lakkozás 1400 Ft/nm</w:t>
            </w:r>
          </w:p>
        </w:tc>
        <w:tc>
          <w:tcPr>
            <w:tcW w:w="150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2010.03.31-ig</w:t>
            </w:r>
          </w:p>
        </w:tc>
      </w:tr>
      <w:tr>
        <w:trPr/>
        <w:tc>
          <w:tcPr>
            <w:tcW w:w="1349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Szolgáltatási</w:t>
            </w:r>
          </w:p>
        </w:tc>
        <w:tc>
          <w:tcPr>
            <w:tcW w:w="307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Magyar Posta Zrt.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1138 Budapest, Dunavirág u. 2-6.</w:t>
            </w:r>
          </w:p>
        </w:tc>
        <w:tc>
          <w:tcPr>
            <w:tcW w:w="316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Választási értesítők és ajánló szelvények kézbesítése 40Ft/db</w:t>
            </w:r>
          </w:p>
        </w:tc>
        <w:tc>
          <w:tcPr>
            <w:tcW w:w="150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eseti</w:t>
            </w:r>
          </w:p>
        </w:tc>
      </w:tr>
    </w:tbl>
    <w:p>
      <w:pPr>
        <w:pStyle w:val="NormlWeb"/>
        <w:spacing w:before="280" w:after="0"/>
        <w:jc w:val="center"/>
        <w:rPr>
          <w:b/>
          <w:b/>
        </w:rPr>
      </w:pPr>
      <w:r>
        <w:rPr>
          <w:b/>
        </w:rPr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</w:t>
      </w:r>
      <w:r>
        <w:rPr>
          <w:b/>
          <w:sz w:val="27"/>
        </w:rPr>
        <w:t>2009. április  hó</w:t>
      </w:r>
    </w:p>
    <w:p>
      <w:pPr>
        <w:pStyle w:val="NormlWeb"/>
        <w:spacing w:before="280" w:after="0"/>
        <w:rPr>
          <w:b/>
          <w:b/>
          <w:sz w:val="27"/>
        </w:rPr>
      </w:pPr>
      <w:r>
        <w:rPr>
          <w:b/>
          <w:sz w:val="27"/>
        </w:rPr>
      </w:r>
    </w:p>
    <w:tbl>
      <w:tblPr>
        <w:tblW w:w="9090" w:type="dxa"/>
        <w:jc w:val="start"/>
        <w:tblInd w:w="-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484"/>
        <w:gridCol w:w="3180"/>
        <w:gridCol w:w="2085"/>
        <w:gridCol w:w="2341"/>
      </w:tblGrid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/>
            </w:pPr>
            <w:r>
              <w:rPr>
                <w:b/>
                <w:i/>
              </w:rPr>
              <w:t xml:space="preserve">A szerződés megnevezése </w:t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</w:t>
            </w:r>
          </w:p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Közüzemi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E-ON Energiaszolgáltató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1051 Budapest, Roosevelt tér 7-8.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Gázszolgáltatás nem lakossági alapdíjas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határozatlan</w:t>
            </w:r>
          </w:p>
        </w:tc>
      </w:tr>
      <w:tr>
        <w:trPr/>
        <w:tc>
          <w:tcPr>
            <w:tcW w:w="1484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Szállítási</w:t>
            </w:r>
          </w:p>
        </w:tc>
        <w:tc>
          <w:tcPr>
            <w:tcW w:w="3180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LINEA Bútor-Stúdió Kft.</w:t>
            </w:r>
          </w:p>
          <w:p>
            <w:pPr>
              <w:pStyle w:val="NormlWeb"/>
              <w:spacing w:before="0" w:after="0"/>
              <w:rPr/>
            </w:pPr>
            <w:r>
              <w:rPr>
                <w:b/>
                <w:i/>
              </w:rPr>
              <w:t>9011 Győr, Dózsa major</w:t>
            </w:r>
          </w:p>
        </w:tc>
        <w:tc>
          <w:tcPr>
            <w:tcW w:w="208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Irodabútor beszerzés nettó 3511848 keretösszegben</w:t>
            </w:r>
          </w:p>
        </w:tc>
        <w:tc>
          <w:tcPr>
            <w:tcW w:w="234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24 hónap</w:t>
            </w:r>
          </w:p>
        </w:tc>
      </w:tr>
      <w:tr>
        <w:trPr/>
        <w:tc>
          <w:tcPr>
            <w:tcW w:w="1484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Szállítási</w:t>
            </w:r>
          </w:p>
        </w:tc>
        <w:tc>
          <w:tcPr>
            <w:tcW w:w="3180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PBS Hungária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9022 Győr, Batthyány tér 6.</w:t>
            </w:r>
          </w:p>
        </w:tc>
        <w:tc>
          <w:tcPr>
            <w:tcW w:w="208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Számítástechnikai és egyéb irodatechnikai berendezések festékanyagai melléklet szerinti bontásban</w:t>
            </w:r>
          </w:p>
        </w:tc>
        <w:tc>
          <w:tcPr>
            <w:tcW w:w="234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2010. december 31-ig</w:t>
            </w:r>
          </w:p>
        </w:tc>
      </w:tr>
      <w:tr>
        <w:trPr/>
        <w:tc>
          <w:tcPr>
            <w:tcW w:w="1484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Szolgáltatási</w:t>
            </w:r>
          </w:p>
        </w:tc>
        <w:tc>
          <w:tcPr>
            <w:tcW w:w="3180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Pénzes-Nyomda Szolgáltató és Kereskedelmi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 Győr, Szent Imre u. 88.</w:t>
            </w:r>
          </w:p>
        </w:tc>
        <w:tc>
          <w:tcPr>
            <w:tcW w:w="208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Felülnyomtatott boríték, csekk, tértivevény és névjegykártyák nyomdai előállítása nettó5349500Ft keretösszegben</w:t>
            </w:r>
          </w:p>
        </w:tc>
        <w:tc>
          <w:tcPr>
            <w:tcW w:w="234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12 hónap vagy a keretösszeg kimerülése</w:t>
            </w:r>
          </w:p>
        </w:tc>
      </w:tr>
    </w:tbl>
    <w:p>
      <w:pPr>
        <w:pStyle w:val="NormlWeb"/>
        <w:spacing w:before="280" w:after="0"/>
        <w:rPr/>
      </w:pPr>
      <w:r>
        <w:rPr/>
        <w:t xml:space="preserve">   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</w:t>
      </w:r>
      <w:r>
        <w:rPr>
          <w:b/>
          <w:sz w:val="27"/>
        </w:rPr>
        <w:t>2009. május  hó</w:t>
      </w:r>
    </w:p>
    <w:p>
      <w:pPr>
        <w:pStyle w:val="NormlWeb"/>
        <w:spacing w:before="280" w:after="0"/>
        <w:rPr>
          <w:b/>
          <w:b/>
          <w:sz w:val="27"/>
        </w:rPr>
      </w:pPr>
      <w:r>
        <w:rPr>
          <w:b/>
          <w:sz w:val="27"/>
        </w:rPr>
      </w:r>
    </w:p>
    <w:tbl>
      <w:tblPr>
        <w:tblW w:w="9090" w:type="dxa"/>
        <w:jc w:val="start"/>
        <w:tblInd w:w="-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484"/>
        <w:gridCol w:w="3180"/>
        <w:gridCol w:w="2085"/>
        <w:gridCol w:w="2341"/>
      </w:tblGrid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A szerződés megnevezése </w:t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</w:t>
            </w:r>
          </w:p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Előfizetői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Enternet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1134 Budapest, Váci u. 19.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Bruttó 5268 Ft/hó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határozatlan</w:t>
            </w:r>
          </w:p>
        </w:tc>
      </w:tr>
      <w:tr>
        <w:trPr/>
        <w:tc>
          <w:tcPr>
            <w:tcW w:w="1484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Adásvételi</w:t>
            </w:r>
          </w:p>
        </w:tc>
        <w:tc>
          <w:tcPr>
            <w:tcW w:w="3180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Porsche-Inter Autó Győr Kereskedelmi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Győr</w:t>
            </w:r>
          </w:p>
        </w:tc>
        <w:tc>
          <w:tcPr>
            <w:tcW w:w="208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Bruttó 3.852.736 Ft</w:t>
            </w:r>
          </w:p>
        </w:tc>
        <w:tc>
          <w:tcPr>
            <w:tcW w:w="234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eseti</w:t>
            </w:r>
          </w:p>
        </w:tc>
      </w:tr>
    </w:tbl>
    <w:p>
      <w:pPr>
        <w:pStyle w:val="NormlWeb"/>
        <w:spacing w:before="280" w:after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</w:t>
      </w:r>
      <w:r>
        <w:rPr>
          <w:b/>
          <w:sz w:val="27"/>
        </w:rPr>
        <w:t>2009. június  hó</w:t>
      </w:r>
    </w:p>
    <w:p>
      <w:pPr>
        <w:pStyle w:val="NormlWeb"/>
        <w:spacing w:before="280" w:after="0"/>
        <w:rPr>
          <w:b/>
          <w:b/>
          <w:sz w:val="27"/>
        </w:rPr>
      </w:pPr>
      <w:r>
        <w:rPr>
          <w:b/>
          <w:sz w:val="27"/>
        </w:rPr>
      </w:r>
    </w:p>
    <w:tbl>
      <w:tblPr>
        <w:tblW w:w="9090" w:type="dxa"/>
        <w:jc w:val="start"/>
        <w:tblInd w:w="-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484"/>
        <w:gridCol w:w="3180"/>
        <w:gridCol w:w="2085"/>
        <w:gridCol w:w="2341"/>
      </w:tblGrid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A szerződés megnevezése </w:t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</w:t>
            </w:r>
          </w:p>
          <w:p>
            <w:pPr>
              <w:pStyle w:val="NormlWeb"/>
              <w:spacing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84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Megbízási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8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Takácsné Kártyás Ildikó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8220 Balatonalmádi, Corvin János u. 8.</w:t>
            </w:r>
          </w:p>
        </w:tc>
        <w:tc>
          <w:tcPr>
            <w:tcW w:w="2085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Főszezon: bruttó 80000Ft/hó, utószezon: 40000Ft/hó</w:t>
            </w:r>
          </w:p>
        </w:tc>
        <w:tc>
          <w:tcPr>
            <w:tcW w:w="2341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2009. december 31-ig</w:t>
            </w:r>
          </w:p>
        </w:tc>
      </w:tr>
      <w:tr>
        <w:trPr/>
        <w:tc>
          <w:tcPr>
            <w:tcW w:w="1484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Adásvételi</w:t>
            </w:r>
          </w:p>
        </w:tc>
        <w:tc>
          <w:tcPr>
            <w:tcW w:w="3180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Hirt Autó Kft.</w:t>
            </w:r>
          </w:p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7090 Tamási, Vasút sor 1-3.</w:t>
            </w:r>
          </w:p>
        </w:tc>
        <w:tc>
          <w:tcPr>
            <w:tcW w:w="2085" w:type="dxa"/>
            <w:tcBorders>
              <w:start w:val="double" w:sz="6" w:space="0" w:color="000000"/>
              <w:bottom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Suzuki Jimny bruttó 3.995.000,- Ft</w:t>
            </w:r>
          </w:p>
        </w:tc>
        <w:tc>
          <w:tcPr>
            <w:tcW w:w="2341" w:type="dxa"/>
            <w:tcBorders>
              <w:start w:val="double" w:sz="6" w:space="0" w:color="000000"/>
              <w:bottom w:val="double" w:sz="6" w:space="0" w:color="000000"/>
              <w:end w:val="double" w:sz="6" w:space="0" w:color="000000"/>
            </w:tcBorders>
            <w:shd w:fill="auto" w:val="clear"/>
          </w:tcPr>
          <w:p>
            <w:pPr>
              <w:pStyle w:val="NormlWeb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eseti</w:t>
            </w:r>
          </w:p>
        </w:tc>
      </w:tr>
    </w:tbl>
    <w:p>
      <w:pPr>
        <w:pStyle w:val="NormlWeb"/>
        <w:spacing w:before="280" w:after="0"/>
        <w:rPr>
          <w:b/>
          <w:b/>
        </w:rPr>
      </w:pPr>
      <w:r>
        <w:rPr>
          <w:b/>
        </w:rPr>
      </w:r>
    </w:p>
    <w:p>
      <w:pPr>
        <w:pStyle w:val="NormlWeb"/>
        <w:spacing w:before="280" w:after="0"/>
        <w:jc w:val="center"/>
        <w:rPr/>
      </w:pPr>
      <w:r>
        <w:rPr/>
        <w:t xml:space="preserve">                                      </w:t>
      </w:r>
    </w:p>
    <w:p>
      <w:pPr>
        <w:pStyle w:val="NormlWeb"/>
        <w:spacing w:before="280" w:after="0"/>
        <w:jc w:val="both"/>
        <w:rPr/>
      </w:pPr>
      <w:r>
        <w:rPr>
          <w:b/>
          <w:sz w:val="27"/>
        </w:rPr>
        <w:t xml:space="preserve">                        </w:t>
      </w:r>
      <w:r>
        <w:rPr>
          <w:sz w:val="27"/>
        </w:rPr>
        <w:t xml:space="preserve">                                                             </w:t>
      </w:r>
      <w:r>
        <w:rPr>
          <w:i/>
        </w:rPr>
        <w:t xml:space="preserve"> </w:t>
      </w:r>
      <w:r>
        <w:rPr>
          <w:i/>
        </w:rPr>
        <w:t>Reider Ernő csoportvezető</w:t>
      </w:r>
    </w:p>
    <w:p>
      <w:pPr>
        <w:pStyle w:val="NormlWeb"/>
        <w:spacing w:before="280" w:after="0"/>
        <w:jc w:val="both"/>
        <w:rPr>
          <w:i/>
          <w:i/>
          <w:sz w:val="27"/>
        </w:rPr>
      </w:pPr>
      <w:r>
        <w:rPr>
          <w:i/>
          <w:sz w:val="27"/>
        </w:rPr>
        <w:t xml:space="preserve">                                                                                      </w:t>
      </w:r>
    </w:p>
    <w:p>
      <w:pPr>
        <w:pStyle w:val="NormlWeb"/>
        <w:spacing w:before="280" w:after="0"/>
        <w:jc w:val="center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ekezdsalapbettpusa1">
    <w:name w:val="Bekezdés alap-bet?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jc w:val="center"/>
    </w:pPr>
    <w:rPr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2009-07-15T13:39:00Z</dcterms:created>
  <dc:creator>cstunde</dc:creator>
  <dc:description/>
  <cp:keywords/>
  <dc:language>en-GB</dc:language>
  <cp:lastModifiedBy>Tibold Petra</cp:lastModifiedBy>
  <cp:lastPrinted>2009-07-15T14:05:00Z</cp:lastPrinted>
  <dcterms:modified xsi:type="dcterms:W3CDTF">2009-07-15T13:39:00Z</dcterms:modified>
  <cp:revision>2</cp:revision>
  <dc:subject/>
  <dc:title>TÁJÉKOZTATÓ A GYŐR MEGYEI JOGÚ VÁROS ÖNKORMÁNYZATA ÁLTAL KÖTÖTT SZERZŐDÉSEKRŐL</dc:title>
</cp:coreProperties>
</file>