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 </w:t>
      </w:r>
      <w:bookmarkStart w:id="0" w:name="_GoBack"/>
      <w:bookmarkEnd w:id="0"/>
      <w:r>
        <w:rPr>
          <w:b/>
          <w:bCs/>
          <w:sz w:val="28"/>
          <w:szCs w:val="28"/>
        </w:rPr>
        <w:t xml:space="preserve">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január - február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8" w:type="dxa"/>
        <w:jc w:val="start"/>
        <w:tblInd w:w="-3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019"/>
        <w:gridCol w:w="2874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0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8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Győr Városi Egészségfejlesztési Terv -elemzés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Tantinó Oktatás Szervező Kft.</w:t>
            </w:r>
          </w:p>
        </w:tc>
        <w:tc>
          <w:tcPr>
            <w:tcW w:w="20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300 000 Ft+ÁFA</w:t>
            </w:r>
          </w:p>
        </w:tc>
        <w:tc>
          <w:tcPr>
            <w:tcW w:w="28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2015. január 12- május30.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Goodwill PR Kommunikációs Ügynökség Bt.</w:t>
            </w:r>
          </w:p>
        </w:tc>
        <w:tc>
          <w:tcPr>
            <w:tcW w:w="20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200 000 Ft+ÁFA</w:t>
            </w:r>
          </w:p>
        </w:tc>
        <w:tc>
          <w:tcPr>
            <w:tcW w:w="28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február 26 - április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Kortárssegítő képzés –kiegészítő programok levezetése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Otoltics Péter </w:t>
            </w:r>
          </w:p>
        </w:tc>
        <w:tc>
          <w:tcPr>
            <w:tcW w:w="20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20 000 Ft</w:t>
            </w:r>
          </w:p>
        </w:tc>
        <w:tc>
          <w:tcPr>
            <w:tcW w:w="28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február 13., 27.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február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/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2015-03-02T09:15:00Z</dcterms:created>
  <dc:creator>kerine.rita</dc:creator>
  <dc:description/>
  <cp:keywords/>
  <dc:language>en-GB</dc:language>
  <cp:lastModifiedBy>kerine.rita</cp:lastModifiedBy>
  <dcterms:modified xsi:type="dcterms:W3CDTF">2015-03-02T09:15:00Z</dcterms:modified>
  <cp:revision>1</cp:revision>
  <dc:subject/>
  <dc:title>TÁJÉKOZTATÓ  GYŐR MEGYEI JOGÚ VÁROS ÖNKORMÁNYZATA </dc:title>
</cp:coreProperties>
</file>