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2014. november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703" w:type="dxa"/>
        <w:jc w:val="start"/>
        <w:tblInd w:w="-3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53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Étkezés vendéglátás – </w:t>
            </w:r>
          </w:p>
          <w:p>
            <w:pPr>
              <w:pStyle w:val="Tblzattartalom"/>
              <w:snapToGrid w:val="false"/>
              <w:rPr/>
            </w:pPr>
            <w:r>
              <w:rPr/>
              <w:t>KEF Konferencia-115 fő részére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Ördögkonyha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243 396 Ft.-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05.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Előadás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Rákosi-Tóth Rita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20 000 Ft.- 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05.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 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Előadás 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Feller Bt.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20 000 Ft.- 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05.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Előadás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Kaliba Edit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20 000 Ft.- 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05.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Workshop vezetése 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Némethné Foki Andrea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10 000 Ft.- 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18.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Workshop vezetése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Egedi Cecília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10 000 Ft.- </w:t>
            </w:r>
          </w:p>
        </w:tc>
        <w:tc>
          <w:tcPr>
            <w:tcW w:w="26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november 18.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november 28.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2014-11-28T10:11:00Z</dcterms:created>
  <dc:creator/>
  <dc:description/>
  <cp:keywords/>
  <dc:language>en-GB</dc:language>
  <cp:lastModifiedBy>kerine.rita</cp:lastModifiedBy>
  <cp:lastPrinted>2014-11-28T11:01:00Z</cp:lastPrinted>
  <dcterms:modified xsi:type="dcterms:W3CDTF">2014-11-28T11:01:00Z</dcterms:modified>
  <cp:revision>2</cp:revision>
  <dc:subject/>
  <dc:title/>
</cp:coreProperties>
</file>