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261"/>
        <w:gridCol w:w="2907"/>
        <w:gridCol w:w="1644"/>
        <w:gridCol w:w="1783"/>
      </w:tblGrid>
      <w:tr>
        <w:trPr>
          <w:trHeight w:val="917" w:hRule="atLeast"/>
        </w:trPr>
        <w:tc>
          <w:tcPr>
            <w:tcW w:w="32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Vitrin-Bérleti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1db vitrinbérlet Arrabona fogóajtóban 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SC QUTLET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2012.05.01-2012. 06.30.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Vagyonvédelmi feladatok ellátása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Security Patent Élőerő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24.951.144,-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2012.06.01-2014.05.31.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Plexitermékek, alumínium profil vás.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Alexovics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Várható összeg: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2.200.000,-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2012.05.08-2012.12.31.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Jegy és bérletértékesítési rendszer üzemeltetése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Rendszer használatért és karbantartásért renszerhasználati díj →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Online (interneten és jegyirodai hálózatban) értékesített  jegyek után 10% jutalék→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Helyszíni kiszállásért utiktg→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Jegymester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150.000,-/hó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értékesített jegyek értékének 10%-a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100,-Ft/km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2012.05.02-határozatlan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2012.05.10.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2012-05-10T07:52:00Z</dcterms:created>
  <dc:creator>Nemzeti Színház</dc:creator>
  <dc:description/>
  <cp:keywords/>
  <dc:language>en-GB</dc:language>
  <cp:lastModifiedBy>Varga Gyula</cp:lastModifiedBy>
  <cp:lastPrinted>2012-05-10T09:42:00Z</cp:lastPrinted>
  <dcterms:modified xsi:type="dcterms:W3CDTF">2012-05-15T06:33:00Z</dcterms:modified>
  <cp:revision>7</cp:revision>
  <dc:subject/>
  <dc:title>A szerződés megnevezése,</dc:title>
</cp:coreProperties>
</file>