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D4" w:rsidRPr="007E0D88" w:rsidRDefault="003E34D4" w:rsidP="0085308D">
      <w:pPr>
        <w:jc w:val="center"/>
        <w:rPr>
          <w:rFonts w:cs="Times New Roman"/>
          <w:b/>
          <w:bCs/>
          <w:szCs w:val="22"/>
        </w:rPr>
      </w:pPr>
      <w:bookmarkStart w:id="0" w:name="_GoBack"/>
      <w:bookmarkEnd w:id="0"/>
      <w:r w:rsidRPr="007E0D88">
        <w:rPr>
          <w:rFonts w:cs="Times New Roman"/>
          <w:b/>
          <w:bCs/>
          <w:szCs w:val="22"/>
        </w:rPr>
        <w:t xml:space="preserve">TÁJÉKOZTATÓ </w:t>
      </w:r>
      <w:proofErr w:type="gramStart"/>
      <w:r w:rsidRPr="007E0D88">
        <w:rPr>
          <w:rFonts w:cs="Times New Roman"/>
          <w:b/>
          <w:bCs/>
          <w:szCs w:val="22"/>
        </w:rPr>
        <w:t>A</w:t>
      </w:r>
      <w:proofErr w:type="gramEnd"/>
      <w:r w:rsidRPr="007E0D88">
        <w:rPr>
          <w:rFonts w:cs="Times New Roman"/>
          <w:b/>
          <w:bCs/>
          <w:szCs w:val="22"/>
        </w:rPr>
        <w:t xml:space="preserve"> GYŐR MEGYEI JOGÚ VÁROS ÖNKORMÁNYZATA ÁLTAL NYÚJTOTT TÁMOGATÁSOKRÓL</w:t>
      </w:r>
    </w:p>
    <w:p w:rsidR="003E34D4" w:rsidRPr="007E0D88" w:rsidRDefault="003E34D4" w:rsidP="0085308D">
      <w:pPr>
        <w:jc w:val="center"/>
        <w:rPr>
          <w:rFonts w:cs="Times New Roman"/>
          <w:szCs w:val="22"/>
        </w:rPr>
      </w:pPr>
      <w:r w:rsidRPr="007E0D88">
        <w:rPr>
          <w:rFonts w:cs="Times New Roman"/>
          <w:szCs w:val="22"/>
        </w:rPr>
        <w:t>(az Áht. 15/A. §</w:t>
      </w:r>
      <w:proofErr w:type="spellStart"/>
      <w:r w:rsidRPr="007E0D88">
        <w:rPr>
          <w:rFonts w:cs="Times New Roman"/>
          <w:szCs w:val="22"/>
        </w:rPr>
        <w:t>-</w:t>
      </w:r>
      <w:proofErr w:type="gramStart"/>
      <w:r w:rsidRPr="007E0D88">
        <w:rPr>
          <w:rFonts w:cs="Times New Roman"/>
          <w:szCs w:val="22"/>
        </w:rPr>
        <w:t>a</w:t>
      </w:r>
      <w:proofErr w:type="spellEnd"/>
      <w:proofErr w:type="gramEnd"/>
      <w:r w:rsidRPr="007E0D88">
        <w:rPr>
          <w:rFonts w:cs="Times New Roman"/>
          <w:szCs w:val="22"/>
        </w:rPr>
        <w:t xml:space="preserve">, valamint a költségvetési rendelet 24. § (17) </w:t>
      </w:r>
      <w:proofErr w:type="spellStart"/>
      <w:r w:rsidRPr="007E0D88">
        <w:rPr>
          <w:rFonts w:cs="Times New Roman"/>
          <w:szCs w:val="22"/>
        </w:rPr>
        <w:t>bek</w:t>
      </w:r>
      <w:proofErr w:type="spellEnd"/>
      <w:r w:rsidRPr="007E0D88">
        <w:rPr>
          <w:rFonts w:cs="Times New Roman"/>
          <w:szCs w:val="22"/>
        </w:rPr>
        <w:t xml:space="preserve">. </w:t>
      </w:r>
      <w:proofErr w:type="gramStart"/>
      <w:r w:rsidRPr="007E0D88">
        <w:rPr>
          <w:rFonts w:cs="Times New Roman"/>
          <w:szCs w:val="22"/>
        </w:rPr>
        <w:t>alapján</w:t>
      </w:r>
      <w:proofErr w:type="gramEnd"/>
      <w:r w:rsidRPr="007E0D88">
        <w:rPr>
          <w:rFonts w:cs="Times New Roman"/>
          <w:szCs w:val="22"/>
        </w:rPr>
        <w:t>)</w:t>
      </w:r>
    </w:p>
    <w:p w:rsidR="00886590" w:rsidRPr="007E0D88" w:rsidRDefault="00886590" w:rsidP="00886590">
      <w:pPr>
        <w:jc w:val="center"/>
        <w:rPr>
          <w:rFonts w:cs="Times New Roman"/>
          <w:sz w:val="22"/>
          <w:szCs w:val="22"/>
        </w:rPr>
      </w:pPr>
    </w:p>
    <w:p w:rsidR="003E34D4" w:rsidRPr="007E0D88" w:rsidRDefault="003E34D4" w:rsidP="00886590">
      <w:pPr>
        <w:jc w:val="center"/>
        <w:rPr>
          <w:rFonts w:cs="Times New Roman"/>
          <w:szCs w:val="22"/>
        </w:rPr>
      </w:pPr>
      <w:r w:rsidRPr="007E0D88">
        <w:rPr>
          <w:rFonts w:cs="Times New Roman"/>
          <w:b/>
          <w:szCs w:val="22"/>
        </w:rPr>
        <w:t>2017. év. 0</w:t>
      </w:r>
      <w:r w:rsidR="00BD7593" w:rsidRPr="007E0D88">
        <w:rPr>
          <w:rFonts w:cs="Times New Roman"/>
          <w:b/>
          <w:szCs w:val="22"/>
        </w:rPr>
        <w:t>6</w:t>
      </w:r>
      <w:r w:rsidRPr="007E0D88">
        <w:rPr>
          <w:rFonts w:cs="Times New Roman"/>
          <w:b/>
          <w:szCs w:val="22"/>
        </w:rPr>
        <w:t>. hó</w:t>
      </w:r>
    </w:p>
    <w:p w:rsidR="003E34D4" w:rsidRPr="007E0D88" w:rsidRDefault="003E34D4" w:rsidP="0085308D">
      <w:pPr>
        <w:rPr>
          <w:rFonts w:cs="Times New Roman"/>
          <w:sz w:val="22"/>
          <w:szCs w:val="22"/>
        </w:rPr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55"/>
        <w:gridCol w:w="30"/>
        <w:gridCol w:w="21"/>
        <w:gridCol w:w="4539"/>
        <w:gridCol w:w="1410"/>
        <w:gridCol w:w="7"/>
        <w:gridCol w:w="5954"/>
      </w:tblGrid>
      <w:tr w:rsidR="003E34D4" w:rsidRPr="007E0D88" w:rsidTr="00B56F0B">
        <w:trPr>
          <w:tblHeader/>
        </w:trPr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E34D4" w:rsidRPr="007E0D88" w:rsidRDefault="003E34D4" w:rsidP="00B56F0B">
            <w:pPr>
              <w:pStyle w:val="Tblzatfejlc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támogatott neve</w:t>
            </w:r>
          </w:p>
        </w:tc>
        <w:tc>
          <w:tcPr>
            <w:tcW w:w="453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Pr="007E0D88" w:rsidRDefault="003E34D4" w:rsidP="00B56F0B">
            <w:pPr>
              <w:pStyle w:val="Tblzatfejlc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támogatás célja</w:t>
            </w: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Pr="007E0D88" w:rsidRDefault="003E34D4" w:rsidP="00B56F0B">
            <w:pPr>
              <w:pStyle w:val="Tblzatfejlc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 xml:space="preserve">A támogatás összege </w:t>
            </w:r>
          </w:p>
          <w:p w:rsidR="003E34D4" w:rsidRPr="007E0D88" w:rsidRDefault="003E34D4" w:rsidP="00B56F0B">
            <w:pPr>
              <w:pStyle w:val="Tblzatfejlc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(Ft)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3E34D4" w:rsidRPr="007E0D88" w:rsidRDefault="003E34D4" w:rsidP="00B56F0B">
            <w:pPr>
              <w:pStyle w:val="Tblzatfejlc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támogatott program megvalósítási helye</w:t>
            </w:r>
          </w:p>
        </w:tc>
      </w:tr>
      <w:tr w:rsidR="003E34D4" w:rsidRPr="007E0D88" w:rsidTr="00B56F0B">
        <w:tc>
          <w:tcPr>
            <w:tcW w:w="2106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3E34D4" w:rsidRPr="007E0D88" w:rsidRDefault="003B21DE" w:rsidP="00B56F0B">
            <w:pPr>
              <w:pStyle w:val="Tblzattartalom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Tankerületi Központ</w:t>
            </w:r>
            <w:r w:rsidR="00A22817" w:rsidRPr="007E0D88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Pr="007E0D88" w:rsidRDefault="00C61304" w:rsidP="00B56F0B">
            <w:pPr>
              <w:pStyle w:val="Tblzattartalom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Győrben Működő, korábban az önkormányzat, jelenleg a Klebelsberg Intézményfenntartó Központhoz, a Győri Műszaki Szakképzési Centrumhoz és a Győri Szolgáltatási Szakképzési Centrumhoz tartozó köznevelési intézmények szakmai programjainak pályázati eljárás keretében történő támogatását szolgáló pályázati keret felhasználása, az intézmények működési költségeihez hozzájárulás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34D4" w:rsidRPr="007E0D88" w:rsidRDefault="00A22817" w:rsidP="00B56F0B">
            <w:pPr>
              <w:pStyle w:val="Tblzattartalom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6</w:t>
            </w:r>
            <w:r w:rsidR="003E34D4" w:rsidRPr="007E0D88">
              <w:rPr>
                <w:rFonts w:cs="Times New Roman"/>
                <w:sz w:val="22"/>
                <w:szCs w:val="22"/>
              </w:rPr>
              <w:t>.</w:t>
            </w:r>
            <w:r w:rsidRPr="007E0D88">
              <w:rPr>
                <w:rFonts w:cs="Times New Roman"/>
                <w:sz w:val="22"/>
                <w:szCs w:val="22"/>
              </w:rPr>
              <w:t>412</w:t>
            </w:r>
            <w:r w:rsidR="003E34D4" w:rsidRPr="007E0D88">
              <w:rPr>
                <w:rFonts w:cs="Times New Roman"/>
                <w:sz w:val="22"/>
                <w:szCs w:val="22"/>
              </w:rPr>
              <w:t>.000.-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3E34D4" w:rsidRPr="007E0D88" w:rsidRDefault="00C61304" w:rsidP="00B56F0B">
            <w:pPr>
              <w:pStyle w:val="Tblzattartalom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Győri Tankerületi Központ intézményei:</w:t>
            </w:r>
          </w:p>
          <w:p w:rsidR="00C61304" w:rsidRPr="007E0D88" w:rsidRDefault="00C61304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 xml:space="preserve">Szabadhegyi </w:t>
            </w:r>
            <w:proofErr w:type="spellStart"/>
            <w:r w:rsidRPr="007E0D88">
              <w:rPr>
                <w:rFonts w:cs="Times New Roman"/>
                <w:sz w:val="22"/>
                <w:szCs w:val="22"/>
              </w:rPr>
              <w:t>Magyar-Német</w:t>
            </w:r>
            <w:proofErr w:type="spellEnd"/>
            <w:r w:rsidRPr="007E0D8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7E0D88">
              <w:rPr>
                <w:rFonts w:cs="Times New Roman"/>
                <w:sz w:val="22"/>
                <w:szCs w:val="22"/>
              </w:rPr>
              <w:t>Általnos</w:t>
            </w:r>
            <w:proofErr w:type="spellEnd"/>
            <w:r w:rsidRPr="007E0D88">
              <w:rPr>
                <w:rFonts w:cs="Times New Roman"/>
                <w:sz w:val="22"/>
                <w:szCs w:val="22"/>
              </w:rPr>
              <w:t xml:space="preserve"> Iskola és Gimnázium</w:t>
            </w:r>
          </w:p>
          <w:p w:rsidR="00C61304" w:rsidRPr="007E0D88" w:rsidRDefault="00C61304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 xml:space="preserve">Győri Arany János </w:t>
            </w:r>
            <w:proofErr w:type="spellStart"/>
            <w:r w:rsidRPr="007E0D88">
              <w:rPr>
                <w:rFonts w:cs="Times New Roman"/>
                <w:sz w:val="22"/>
                <w:szCs w:val="22"/>
              </w:rPr>
              <w:t>Angol-Német</w:t>
            </w:r>
            <w:proofErr w:type="spellEnd"/>
            <w:r w:rsidRPr="007E0D88">
              <w:rPr>
                <w:rFonts w:cs="Times New Roman"/>
                <w:sz w:val="22"/>
                <w:szCs w:val="22"/>
              </w:rPr>
              <w:t xml:space="preserve"> Két Tanítási Nyelvű Általános Iskola</w:t>
            </w:r>
          </w:p>
          <w:p w:rsidR="00C61304" w:rsidRPr="007E0D88" w:rsidRDefault="00C61304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Kodály Zoltán Ének-zenei Általános Iskola</w:t>
            </w:r>
          </w:p>
          <w:p w:rsidR="00C61304" w:rsidRPr="007E0D88" w:rsidRDefault="00C61304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Gárdonyi Géza Általános Iskola</w:t>
            </w:r>
          </w:p>
          <w:p w:rsidR="00C61304" w:rsidRPr="007E0D88" w:rsidRDefault="00C61304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Győr-Moson-Sopron Megyei Pedagógiai Szakszolgálat</w:t>
            </w:r>
          </w:p>
          <w:p w:rsidR="00C61304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Kossuth Lajos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Radnóti Miklós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Tánc- és Képzőművészeti Általános Iskola, Szakgimnázium és Kollégium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Tulipános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Eötvös József Általános Iskola és Szakközépiskola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Móricz Zsigmond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Fekete István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Kölcsey Ferenc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Ménfőcsanaki Petőfi Sándor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Móra Ferenc Általános Iskola és Szakgimnázium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Liszt Ferenc Zenei Alapfokú Művészeti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Kazinczy Ferenc Gimnázium és Kollégium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Váci Mihály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Richter János Zeneművészeti Szakgimnázium, Általános Iskola, Alapfokú Művészeti Iskola és Kollégium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 Nádorvárosi Ének-zenei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Gyárvárosi Általános Iskola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lastRenderedPageBreak/>
              <w:t>Révai Miklós Gimnázium és Kollégium</w:t>
            </w:r>
          </w:p>
          <w:p w:rsidR="00886590" w:rsidRPr="007E0D88" w:rsidRDefault="00886590" w:rsidP="00B56F0B">
            <w:pPr>
              <w:pStyle w:val="Tblzattartalom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Kovács Margit Német Nyelvoktató Nemzetiségi Általános Iskola, Alapfokú Művészeti Iskola, Iparművészeti Szakgimnázium és Szakközépiskola</w:t>
            </w:r>
          </w:p>
        </w:tc>
      </w:tr>
      <w:tr w:rsidR="00B56F0B" w:rsidRPr="007E0D88" w:rsidTr="007E0D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5"/>
        </w:trPr>
        <w:tc>
          <w:tcPr>
            <w:tcW w:w="2085" w:type="dxa"/>
            <w:gridSpan w:val="2"/>
          </w:tcPr>
          <w:p w:rsidR="00B56F0B" w:rsidRPr="007E0D88" w:rsidRDefault="00B56F0B" w:rsidP="00B56F0B">
            <w:pPr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lastRenderedPageBreak/>
              <w:t>Győri Szolgáltatási Szakképzési Centrum</w:t>
            </w: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0" w:type="dxa"/>
            <w:gridSpan w:val="2"/>
          </w:tcPr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Győrben Működő, korábban az önkormányzat, jelenleg a Klebelsberg Intézményfenntartó Központhoz, a Győri Műszaki Szakképzési Centrumhoz és a Győri Szolgáltatási Szakképzési Centrumhoz tartozó köznevelési intézmények szakmai programjainak pályázati eljárás keretében történő támogatását szolgáló pályázati keret felhasználása, az intézmények működési költségeihez hozzájárulás</w:t>
            </w: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1.620.000</w:t>
            </w:r>
            <w:r w:rsidR="0085308D" w:rsidRPr="007E0D88">
              <w:rPr>
                <w:rFonts w:cs="Times New Roman"/>
                <w:sz w:val="22"/>
                <w:szCs w:val="22"/>
              </w:rPr>
              <w:t>.-</w:t>
            </w: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961" w:type="dxa"/>
            <w:gridSpan w:val="2"/>
          </w:tcPr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Győri Szolgáltatási Szakképzési Centrum intézményei:</w:t>
            </w:r>
          </w:p>
          <w:p w:rsidR="00B56F0B" w:rsidRPr="007E0D88" w:rsidRDefault="00B56F0B" w:rsidP="00B56F0B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Szolgáltatási SZC Pálffy Miklós Kereskedelmi és Logisztikai Szakgimnáziuma és Szakközépiskolája</w:t>
            </w:r>
          </w:p>
          <w:p w:rsidR="00B56F0B" w:rsidRPr="007E0D88" w:rsidRDefault="00B56F0B" w:rsidP="00B56F0B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Szolgáltatási SZC Kossuth Lajos Középiskolája és Gimnáziuma</w:t>
            </w:r>
          </w:p>
          <w:p w:rsidR="00B56F0B" w:rsidRPr="007E0D88" w:rsidRDefault="00B56F0B" w:rsidP="00B56F0B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 xml:space="preserve">Győri Szolgáltatási SZC Krúdy Gyula Gimnázium, Két Tanítási Nyelvű Középiskolája, Turisztikai és </w:t>
            </w:r>
            <w:proofErr w:type="spellStart"/>
            <w:r w:rsidRPr="007E0D88">
              <w:rPr>
                <w:rFonts w:cs="Times New Roman"/>
                <w:sz w:val="22"/>
                <w:szCs w:val="22"/>
              </w:rPr>
              <w:t>Vendéglátóipari</w:t>
            </w:r>
            <w:proofErr w:type="spellEnd"/>
            <w:r w:rsidRPr="007E0D88">
              <w:rPr>
                <w:rFonts w:cs="Times New Roman"/>
                <w:sz w:val="22"/>
                <w:szCs w:val="22"/>
              </w:rPr>
              <w:t xml:space="preserve"> Szakképző Iskolája</w:t>
            </w:r>
          </w:p>
          <w:p w:rsidR="00B56F0B" w:rsidRPr="007E0D88" w:rsidRDefault="00B56F0B" w:rsidP="00B56F0B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Szolgáltatási SZC Szent-Györgyi Albert Egészségügyi és Szociális Szakgimnáziuma és Szakközépiskolája</w:t>
            </w:r>
          </w:p>
          <w:p w:rsidR="00B56F0B" w:rsidRPr="007E0D88" w:rsidRDefault="00B56F0B" w:rsidP="00B56F0B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Szolgáltatási SZC Baross Gábor Két Tanítási Nyelvű Közgazdasági és Ügyviteli Szakgimnáziuma</w:t>
            </w:r>
          </w:p>
          <w:p w:rsidR="00B56F0B" w:rsidRPr="007E0D88" w:rsidRDefault="00B56F0B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Szolgáltatási Szakképzési Centrum Deák Ferenc Közgazdasági Szakgimnázium</w:t>
            </w:r>
          </w:p>
        </w:tc>
      </w:tr>
      <w:tr w:rsidR="00B56F0B" w:rsidRPr="007E0D88" w:rsidTr="00853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375"/>
        </w:trPr>
        <w:tc>
          <w:tcPr>
            <w:tcW w:w="2055" w:type="dxa"/>
          </w:tcPr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lastRenderedPageBreak/>
              <w:t>Győri Műszaki Szakképzési Centrum</w:t>
            </w: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ind w:left="-21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90" w:type="dxa"/>
            <w:gridSpan w:val="3"/>
          </w:tcPr>
          <w:p w:rsidR="00B56F0B" w:rsidRPr="007E0D88" w:rsidRDefault="00B56F0B" w:rsidP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Győrben Működő, korábban az önkormányzat, jelenleg a Klebelsberg Intézményfenntartó Központhoz, a Győri Műszaki Szakképzési Centrumhoz és a Győri Szolgáltatási Szakképzési Centrumhoz tartozó köznevelési intézmények szakmai programjainak pályázati eljárás keretében történő támogatását szolgáló pályázati keret felhasználása, az intézmények működési költségeihez hozzájárulás</w:t>
            </w:r>
          </w:p>
        </w:tc>
        <w:tc>
          <w:tcPr>
            <w:tcW w:w="1410" w:type="dxa"/>
          </w:tcPr>
          <w:p w:rsidR="00B56F0B" w:rsidRPr="007E0D88" w:rsidRDefault="0085308D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1.968.000.-</w:t>
            </w:r>
          </w:p>
          <w:p w:rsidR="00B56F0B" w:rsidRPr="007E0D88" w:rsidRDefault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</w:p>
          <w:p w:rsidR="00B56F0B" w:rsidRPr="007E0D88" w:rsidRDefault="00B56F0B" w:rsidP="00B56F0B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961" w:type="dxa"/>
            <w:gridSpan w:val="2"/>
          </w:tcPr>
          <w:p w:rsidR="00B56F0B" w:rsidRPr="007E0D88" w:rsidRDefault="0085308D">
            <w:pPr>
              <w:widowControl/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A Győri Műszaki Szakképzési Centrum intézményei:</w:t>
            </w:r>
          </w:p>
          <w:p w:rsidR="0085308D" w:rsidRPr="007E0D88" w:rsidRDefault="0085308D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Műszaki SZC Jedlik Ányos Gépipari és Informatikai Szakgimnáziuma, Szakközépiskolája és Kollégiuma</w:t>
            </w:r>
          </w:p>
          <w:p w:rsidR="0085308D" w:rsidRPr="007E0D88" w:rsidRDefault="0085308D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Műszaki SZC Lukács Sándor Mechatronikai és Gépészeti Szakgimnáziuma, Szakközépiskolája és Kollégiuma</w:t>
            </w:r>
          </w:p>
          <w:p w:rsidR="0085308D" w:rsidRPr="007E0D88" w:rsidRDefault="0085308D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Műszaki SZC Pattantyús-Ábrahám Géza Ipari Szakgimnáziuma és Szakközépiskolája</w:t>
            </w:r>
          </w:p>
          <w:p w:rsidR="0085308D" w:rsidRPr="007E0D88" w:rsidRDefault="0085308D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Műszaki SZC Bercsényi Miklós Közlekedési és Sportiskolai Szakgimnáziuma és Szakközépiskolája</w:t>
            </w:r>
          </w:p>
          <w:p w:rsidR="0085308D" w:rsidRPr="007E0D88" w:rsidRDefault="0085308D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Műszaki SZC Hild József Szakgimnáziuma</w:t>
            </w:r>
          </w:p>
          <w:p w:rsidR="0085308D" w:rsidRPr="007E0D88" w:rsidRDefault="0085308D" w:rsidP="0085308D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>Győri Műszaki SZC Gábor László Építőipari Szakközépiskolája</w:t>
            </w:r>
          </w:p>
          <w:p w:rsidR="00B56F0B" w:rsidRPr="007E0D88" w:rsidRDefault="0085308D" w:rsidP="00B56F0B">
            <w:pPr>
              <w:pStyle w:val="Listaszerbekezds"/>
              <w:widowControl/>
              <w:numPr>
                <w:ilvl w:val="0"/>
                <w:numId w:val="1"/>
              </w:numPr>
              <w:autoSpaceDN/>
              <w:adjustRightInd/>
              <w:spacing w:after="200" w:line="276" w:lineRule="auto"/>
              <w:rPr>
                <w:rFonts w:cs="Times New Roman"/>
                <w:sz w:val="22"/>
                <w:szCs w:val="22"/>
              </w:rPr>
            </w:pPr>
            <w:r w:rsidRPr="007E0D88">
              <w:rPr>
                <w:rFonts w:cs="Times New Roman"/>
                <w:sz w:val="22"/>
                <w:szCs w:val="22"/>
              </w:rPr>
              <w:t xml:space="preserve">Győri Műszaki SZC </w:t>
            </w:r>
            <w:proofErr w:type="spellStart"/>
            <w:r w:rsidRPr="007E0D88">
              <w:rPr>
                <w:rFonts w:cs="Times New Roman"/>
                <w:sz w:val="22"/>
                <w:szCs w:val="22"/>
              </w:rPr>
              <w:t>Szabóky</w:t>
            </w:r>
            <w:proofErr w:type="spellEnd"/>
            <w:r w:rsidRPr="007E0D88">
              <w:rPr>
                <w:rFonts w:cs="Times New Roman"/>
                <w:sz w:val="22"/>
                <w:szCs w:val="22"/>
              </w:rPr>
              <w:t xml:space="preserve"> Adolf Szakiskolája</w:t>
            </w:r>
          </w:p>
        </w:tc>
      </w:tr>
    </w:tbl>
    <w:p w:rsidR="00B56F0B" w:rsidRPr="007E0D88" w:rsidRDefault="00B56F0B" w:rsidP="003E34D4">
      <w:pPr>
        <w:rPr>
          <w:rFonts w:cs="Times New Roman"/>
          <w:sz w:val="22"/>
          <w:szCs w:val="22"/>
        </w:rPr>
      </w:pPr>
    </w:p>
    <w:p w:rsidR="007E0D88" w:rsidRDefault="007E0D88" w:rsidP="003E34D4">
      <w:pPr>
        <w:rPr>
          <w:rFonts w:cs="Times New Roman"/>
          <w:sz w:val="22"/>
          <w:szCs w:val="22"/>
        </w:rPr>
      </w:pPr>
    </w:p>
    <w:p w:rsidR="003E34D4" w:rsidRPr="007E0D88" w:rsidRDefault="00BD7593" w:rsidP="003E34D4">
      <w:pPr>
        <w:rPr>
          <w:rFonts w:cs="Times New Roman"/>
          <w:sz w:val="22"/>
          <w:szCs w:val="22"/>
        </w:rPr>
      </w:pPr>
      <w:r w:rsidRPr="007E0D88">
        <w:rPr>
          <w:rFonts w:cs="Times New Roman"/>
          <w:sz w:val="22"/>
          <w:szCs w:val="22"/>
        </w:rPr>
        <w:t>Győr, 2017. június 14.</w:t>
      </w:r>
    </w:p>
    <w:p w:rsidR="007E0D88" w:rsidRDefault="007E0D88" w:rsidP="003E34D4">
      <w:pPr>
        <w:rPr>
          <w:rFonts w:cs="Times New Roman"/>
          <w:sz w:val="22"/>
          <w:szCs w:val="22"/>
        </w:rPr>
      </w:pPr>
    </w:p>
    <w:p w:rsidR="007E0D88" w:rsidRPr="007E0D88" w:rsidRDefault="007E0D88" w:rsidP="003E34D4">
      <w:pPr>
        <w:rPr>
          <w:rFonts w:cs="Times New Roman"/>
          <w:sz w:val="22"/>
          <w:szCs w:val="22"/>
        </w:rPr>
      </w:pPr>
    </w:p>
    <w:p w:rsidR="003E34D4" w:rsidRPr="007E0D88" w:rsidRDefault="003E34D4" w:rsidP="003E34D4">
      <w:pPr>
        <w:rPr>
          <w:rFonts w:cs="Times New Roman"/>
          <w:sz w:val="22"/>
          <w:szCs w:val="22"/>
        </w:rPr>
      </w:pPr>
    </w:p>
    <w:p w:rsidR="003E34D4" w:rsidRPr="007E0D88" w:rsidRDefault="003E34D4" w:rsidP="003E34D4">
      <w:pPr>
        <w:rPr>
          <w:rFonts w:cs="Times New Roman"/>
          <w:sz w:val="22"/>
          <w:szCs w:val="22"/>
        </w:rPr>
      </w:pPr>
    </w:p>
    <w:p w:rsidR="003E34D4" w:rsidRPr="007E0D88" w:rsidRDefault="003E34D4" w:rsidP="003E34D4">
      <w:pPr>
        <w:rPr>
          <w:rFonts w:cs="Times New Roman"/>
          <w:sz w:val="22"/>
          <w:szCs w:val="22"/>
        </w:rPr>
      </w:pPr>
      <w:r w:rsidRPr="007E0D88">
        <w:rPr>
          <w:rFonts w:cs="Times New Roman"/>
          <w:sz w:val="22"/>
          <w:szCs w:val="22"/>
        </w:rPr>
        <w:t xml:space="preserve">                                                                                             Páternoszter Piroska</w:t>
      </w:r>
    </w:p>
    <w:p w:rsidR="003E34D4" w:rsidRPr="007E0D88" w:rsidRDefault="003E34D4" w:rsidP="007E0D88">
      <w:pPr>
        <w:rPr>
          <w:rFonts w:cs="Times New Roman"/>
          <w:sz w:val="22"/>
          <w:szCs w:val="22"/>
        </w:rPr>
      </w:pPr>
      <w:r w:rsidRPr="007E0D88">
        <w:rPr>
          <w:rFonts w:cs="Times New Roman"/>
          <w:sz w:val="22"/>
          <w:szCs w:val="22"/>
        </w:rPr>
        <w:t xml:space="preserve">                                                                                                  </w:t>
      </w:r>
      <w:proofErr w:type="gramStart"/>
      <w:r w:rsidRPr="007E0D88">
        <w:rPr>
          <w:rFonts w:cs="Times New Roman"/>
          <w:sz w:val="22"/>
          <w:szCs w:val="22"/>
        </w:rPr>
        <w:t>főosztályvezető</w:t>
      </w:r>
      <w:proofErr w:type="gramEnd"/>
    </w:p>
    <w:sectPr w:rsidR="003E34D4" w:rsidRPr="007E0D88" w:rsidSect="00C613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FD7"/>
    <w:multiLevelType w:val="hybridMultilevel"/>
    <w:tmpl w:val="5B24DADA"/>
    <w:lvl w:ilvl="0" w:tplc="7BE8F73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D4"/>
    <w:rsid w:val="003B21DE"/>
    <w:rsid w:val="003E34D4"/>
    <w:rsid w:val="007E0D88"/>
    <w:rsid w:val="0085308D"/>
    <w:rsid w:val="00886590"/>
    <w:rsid w:val="00A22817"/>
    <w:rsid w:val="00B27AD9"/>
    <w:rsid w:val="00B56F0B"/>
    <w:rsid w:val="00BD7593"/>
    <w:rsid w:val="00C61304"/>
    <w:rsid w:val="00E5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4D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E34D4"/>
    <w:pPr>
      <w:spacing w:after="0"/>
    </w:pPr>
  </w:style>
  <w:style w:type="paragraph" w:customStyle="1" w:styleId="Tblzatfejlc">
    <w:name w:val="Táblázatfejléc"/>
    <w:basedOn w:val="Tblzattartalom"/>
    <w:rsid w:val="003E34D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E34D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E34D4"/>
    <w:rPr>
      <w:rFonts w:ascii="Times New Roman" w:eastAsia="Times New Roman" w:hAnsi="Times New Roman" w:cs="Tahoma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B56F0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E0D88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0D88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34D4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3E34D4"/>
    <w:pPr>
      <w:spacing w:after="0"/>
    </w:pPr>
  </w:style>
  <w:style w:type="paragraph" w:customStyle="1" w:styleId="Tblzatfejlc">
    <w:name w:val="Táblázatfejléc"/>
    <w:basedOn w:val="Tblzattartalom"/>
    <w:rsid w:val="003E34D4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3E34D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E34D4"/>
    <w:rPr>
      <w:rFonts w:ascii="Times New Roman" w:eastAsia="Times New Roman" w:hAnsi="Times New Roman" w:cs="Tahoma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B56F0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E0D88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0D88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542</Words>
  <Characters>3747</Characters>
  <Application>Microsoft Office Word</Application>
  <DocSecurity>4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cp:lastPrinted>2017-06-14T08:40:00Z</cp:lastPrinted>
  <dcterms:created xsi:type="dcterms:W3CDTF">2017-06-15T12:05:00Z</dcterms:created>
  <dcterms:modified xsi:type="dcterms:W3CDTF">2017-06-15T12:05:00Z</dcterms:modified>
</cp:coreProperties>
</file>