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(az Áht. 15/A §-a és a 15/B §-a, valamint a költségvetési rendelet 25. § (3) bekezdése 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2010. év október hónap</w:t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Szállítási szerződés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</w:t>
            </w:r>
          </w:p>
          <w:p>
            <w:pPr>
              <w:pStyle w:val="Heading4"/>
              <w:spacing w:before="280" w:after="24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Az Egyesített Bölcsődei Intézményhálózat részére történő tej-tejtermék szállítása.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Merkapi Kft.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Címe: 9026 Győr,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Mayer L.u. 24.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4.247.133 Ft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(becsült összeg, megrendelések alapján)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2010.10.01-2010.12.31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2010. október 12.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2010-10-15T07:34:00Z</dcterms:created>
  <dc:creator>Gyermeklánc</dc:creator>
  <dc:description/>
  <cp:keywords/>
  <dc:language>en-GB</dc:language>
  <cp:lastModifiedBy>Papp Zsolt</cp:lastModifiedBy>
  <cp:lastPrinted>2008-04-09T15:33:00Z</cp:lastPrinted>
  <dcterms:modified xsi:type="dcterms:W3CDTF">2010-10-15T07:34:00Z</dcterms:modified>
  <cp:revision>2</cp:revision>
  <dc:subject/>
  <dc:title>Tájékoztató a Győr Megyei Jogú Város Önkormányzata</dc:title>
</cp:coreProperties>
</file>