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No todas las instrucciones se olvidan igual:</w:t>
      </w:r>
      <w:r>
        <w:br/>
      </w:r>
      <w:r>
        <w:rPr>
          <w:b/>
          <w:bCs/>
        </w:rPr>
        <w:t xml:space="preserve">medición de la retención por tipo de instrucción</w:t>
      </w:r>
      <w:r>
        <w:br/>
      </w:r>
      <w:r>
        <w:rPr>
          <w:b/>
          <w:bCs/>
        </w:rPr>
        <w:t xml:space="preserve">en asistentes de programación con LLMs</w:t>
      </w:r>
    </w:p>
    <w:p>
      <w:pPr>
        <w:pStyle w:val="Author"/>
      </w:pPr>
      <w:r>
        <w:t xml:space="preserve">Tomás Pablo Korenblit</w:t>
      </w:r>
      <w:r>
        <w:rPr>
          <w:rStyle w:val="FootnoteReference"/>
        </w:rPr>
        <w:footnoteReference w:id="9"/>
      </w:r>
    </w:p>
    <w:p>
      <w:pPr>
        <w:pStyle w:val="Date"/>
      </w:pPr>
      <w:r>
        <w:t xml:space="preserve">Ciencia de Datos — 1.</w:t>
      </w:r>
      <w:r>
        <w:rPr>
          <w:vertAlign w:val="superscript"/>
        </w:rPr>
        <w:t xml:space="preserve">er</w:t>
      </w:r>
      <w:r>
        <w:t xml:space="preserve"> </w:t>
      </w:r>
      <w:r>
        <w:t xml:space="preserve">cuatrimestre 2026</w:t>
      </w:r>
    </w:p>
    <w:p>
      <w:pPr>
        <w:pStyle w:val="FirstParagraph"/>
      </w:pPr>
      <w:r>
        <w:rPr>
          <w:b/>
          <w:bCs/>
        </w:rPr>
        <w:t xml:space="preserve">Resumen.</w:t>
      </w:r>
      <w:r>
        <w:t xml:space="preserve"> </w:t>
      </w:r>
      <w:r>
        <w:t xml:space="preserve">Los modelos de lenguaje grandes (LLMs) pierden</w:t>
      </w:r>
      <w:r>
        <w:t xml:space="preserve"> </w:t>
      </w:r>
      <w:r>
        <w:t xml:space="preserve">adherencia a las instrucciones a medida que la conversación se extiende. La</w:t>
      </w:r>
      <w:r>
        <w:t xml:space="preserve"> </w:t>
      </w:r>
      <w:r>
        <w:t xml:space="preserve">literatura mide ese fenómeno, pero siempre de forma agregada: informa una caída</w:t>
      </w:r>
      <w:r>
        <w:t xml:space="preserve"> </w:t>
      </w:r>
      <w:r>
        <w:t xml:space="preserve">promedio de cumplimiento agregando todas las instrucciones. Este trabajo aborda</w:t>
      </w:r>
      <w:r>
        <w:t xml:space="preserve"> </w:t>
      </w:r>
      <w:r>
        <w:t xml:space="preserve">una pregunta que esa literatura deja abierta: ¿decaen todas las instrucciones por</w:t>
      </w:r>
      <w:r>
        <w:t xml:space="preserve"> </w:t>
      </w:r>
      <w:r>
        <w:t xml:space="preserve">igual, o algunas se retienen y otras no? Para responder esto, construí un banco de</w:t>
      </w:r>
      <w:r>
        <w:t xml:space="preserve"> </w:t>
      </w:r>
      <w:r>
        <w:t xml:space="preserve">pruebas que planta doce preferencias de código como pedidos del usuario en</w:t>
      </w:r>
      <w:r>
        <w:t xml:space="preserve"> </w:t>
      </w:r>
      <w:r>
        <w:t xml:space="preserve">conversaciones sobre bases de código y mide si el modelo las respeta al final.</w:t>
      </w:r>
      <w:r>
        <w:t xml:space="preserve"> </w:t>
      </w:r>
      <w:r>
        <w:t xml:space="preserve">Sobre esas observaciones ajusté un modelo bayesiano con efectos jerárquicos por</w:t>
      </w:r>
      <w:r>
        <w:t xml:space="preserve"> </w:t>
      </w:r>
      <w:r>
        <w:t xml:space="preserve">tipo de decisión. El resultado principal es que la retención varía mucho entre</w:t>
      </w:r>
      <w:r>
        <w:t xml:space="preserve"> </w:t>
      </w:r>
      <w:r>
        <w:t xml:space="preserve">tipos de instrucción: los efectos del tratamiento cambian en más de un orden de</w:t>
      </w:r>
      <w:r>
        <w:t xml:space="preserve"> </w:t>
      </w:r>
      <w:r>
        <w:t xml:space="preserve">magnitud (</w:t>
      </w:r>
      <m:oMath>
        <m:sSub>
          <m:e>
            <m:r>
              <m:t>σ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11</m:t>
        </m:r>
      </m:oMath>
      <w:r>
        <w:t xml:space="preserve">). Tres de doce instrucciones se benefician del</w:t>
      </w:r>
      <w:r>
        <w:t xml:space="preserve"> </w:t>
      </w:r>
      <w:r>
        <w:t xml:space="preserve">refuerzo (dos de ellas de forma robusta entre modelos), una empeora cuando se la</w:t>
      </w:r>
      <w:r>
        <w:t xml:space="preserve"> </w:t>
      </w:r>
      <w:r>
        <w:t xml:space="preserve">refuerza y ocho no requieren intervención, de modo que el refuerzo uniforme</w:t>
      </w:r>
      <w:r>
        <w:t xml:space="preserve"> </w:t>
      </w:r>
      <w:r>
        <w:t xml:space="preserve">malgasta la mayor parte del presupuesto. Esa heterogeneidad es lo que un sistema</w:t>
      </w:r>
      <w:r>
        <w:t xml:space="preserve"> </w:t>
      </w:r>
      <w:r>
        <w:t xml:space="preserve">de refuerzo selectivo necesitaría explotar.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cumplimiento de instrucciones; context rot;</w:t>
      </w:r>
      <w:r>
        <w:t xml:space="preserve"> </w:t>
      </w:r>
      <w:r>
        <w:t xml:space="preserve">inferencia bayesiana; refuerzo selectivo; evaluación de LLMs.</w:t>
      </w:r>
    </w:p>
    <w:bookmarkStart w:id="1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Cuando alguien usa un asistente conversacional como ChatGPT o Claude, la</w:t>
      </w:r>
      <w:r>
        <w:t xml:space="preserve"> </w:t>
      </w:r>
      <w:r>
        <w:t xml:space="preserve">experiencia inicial suele ser buena: explica su proyecto, pide que se respeten</w:t>
      </w:r>
      <w:r>
        <w:t xml:space="preserve"> </w:t>
      </w:r>
      <w:r>
        <w:t xml:space="preserve">ciertas reglas y el modelo obedece. Sin embargo, a medida que la conversación se</w:t>
      </w:r>
      <w:r>
        <w:t xml:space="preserve"> </w:t>
      </w:r>
      <w:r>
        <w:t xml:space="preserve">extiende, en algún momento el modelo deja de respetar lo que se le pidió: sigue</w:t>
      </w:r>
      <w:r>
        <w:t xml:space="preserve"> </w:t>
      </w:r>
      <w:r>
        <w:t xml:space="preserve">respondiendo, pero como si nunca hubiera recibido esas instrucciones. A este</w:t>
      </w:r>
      <w:r>
        <w:t xml:space="preserve"> </w:t>
      </w:r>
      <w:r>
        <w:t xml:space="preserve">fenómeno se lo denomina</w:t>
      </w:r>
      <w:r>
        <w:t xml:space="preserve"> </w:t>
      </w:r>
      <w:r>
        <w:rPr>
          <w:i/>
          <w:iCs/>
        </w:rPr>
        <w:t xml:space="preserve">context rot</w:t>
      </w:r>
      <w:r>
        <w:t xml:space="preserve">: la pérdida de adherencia a las</w:t>
      </w:r>
      <w:r>
        <w:t xml:space="preserve"> </w:t>
      </w:r>
      <w:r>
        <w:t xml:space="preserve">instrucciones conforme crece el contexto. El término abarca también fallas de</w:t>
      </w:r>
      <w:r>
        <w:t xml:space="preserve"> </w:t>
      </w:r>
      <w:r>
        <w:t xml:space="preserve">recuperación y razonamiento; acá lo uso en su acepción restringida a la adherencia</w:t>
      </w:r>
      <w:r>
        <w:t xml:space="preserve"> </w:t>
      </w:r>
      <w:r>
        <w:t xml:space="preserve">a instrucciones.</w:t>
      </w:r>
    </w:p>
    <w:p>
      <w:pPr>
        <w:pStyle w:val="BodyText"/>
      </w:pPr>
      <w:r>
        <w:t xml:space="preserve">No se trata del defecto de un modelo particular; le pasa a todos, y las causas son</w:t>
      </w:r>
      <w:r>
        <w:t xml:space="preserve"> </w:t>
      </w:r>
      <w:r>
        <w:t xml:space="preserve">arquitectónicas. Una es la dilución de la atención: para generar cada token, un</w:t>
      </w:r>
      <w:r>
        <w:t xml:space="preserve"> </w:t>
      </w:r>
      <w:r>
        <w:t xml:space="preserve">LLM decide a qué partes del contexto asignarles más peso mediante un mecanismo de</w:t>
      </w:r>
      <w:r>
        <w:t xml:space="preserve"> </w:t>
      </w:r>
      <w:r>
        <w:t xml:space="preserve">atención que es un recurso finito que se reparte entre todos los tokens. Cuando el</w:t>
      </w:r>
      <w:r>
        <w:t xml:space="preserve"> </w:t>
      </w:r>
      <w:r>
        <w:t xml:space="preserve">contexto crece (las ventanas pasaron de decenas de miles de tokens en 2023 a un</w:t>
      </w:r>
      <w:r>
        <w:t xml:space="preserve"> </w:t>
      </w:r>
      <w:r>
        <w:t xml:space="preserve">millón desde principios de 2024, aproximadamente dos mil páginas), las</w:t>
      </w:r>
      <w:r>
        <w:t xml:space="preserve"> </w:t>
      </w:r>
      <w:r>
        <w:t xml:space="preserve">instrucciones del comienzo compiten por atención con todo lo posterior. Otra es el</w:t>
      </w:r>
      <w:r>
        <w:t xml:space="preserve"> </w:t>
      </w:r>
      <w:r>
        <w:t xml:space="preserve">sesgo posicional: la información del medio del contexto pesa menos que la de los</w:t>
      </w:r>
      <w:r>
        <w:t xml:space="preserve"> </w:t>
      </w:r>
      <w:r>
        <w:t xml:space="preserve">extremos (Liu et al., 2024). La degradación, además, no aparece solo cerca del límite</w:t>
      </w:r>
      <w:r>
        <w:t xml:space="preserve"> </w:t>
      </w:r>
      <w:r>
        <w:t xml:space="preserve">de la ventana: se observa en todos los largos de contexto.</w:t>
      </w:r>
    </w:p>
    <w:p>
      <w:pPr>
        <w:pStyle w:val="BodyText"/>
      </w:pPr>
      <w:r>
        <w:t xml:space="preserve">El problema importa por dos razones. Una es económica: las mitigaciones existentes</w:t>
      </w:r>
      <w:r>
        <w:t xml:space="preserve"> </w:t>
      </w:r>
      <w:r>
        <w:t xml:space="preserve">consisten en re-inyectar las instrucciones en cada turno, y eso multiplica el</w:t>
      </w:r>
      <w:r>
        <w:t xml:space="preserve"> </w:t>
      </w:r>
      <w:r>
        <w:t xml:space="preserve">costo en tokens a escala de miles de millones por día. El otro es la seguridad:</w:t>
      </w:r>
      <w:r>
        <w:t xml:space="preserve"> </w:t>
      </w:r>
      <w:r>
        <w:t xml:space="preserve">los</w:t>
      </w:r>
      <w:r>
        <w:t xml:space="preserve"> </w:t>
      </w:r>
      <w:r>
        <w:rPr>
          <w:i/>
          <w:iCs/>
        </w:rPr>
        <w:t xml:space="preserve">guardrails</w:t>
      </w:r>
      <w:r>
        <w:t xml:space="preserve"> </w:t>
      </w:r>
      <w:r>
        <w:t xml:space="preserve">implementados a nivel de prompt (las reglas que impiden que</w:t>
      </w:r>
      <w:r>
        <w:t xml:space="preserve"> </w:t>
      </w:r>
      <w:r>
        <w:t xml:space="preserve">el modelo produzca contenido dañino) son instrucciones como cualquier otra, y se</w:t>
      </w:r>
      <w:r>
        <w:t xml:space="preserve"> </w:t>
      </w:r>
      <w:r>
        <w:t xml:space="preserve">sabe que los contextos largos aumentan sistemáticamente la tasa de jailbreak</w:t>
      </w:r>
      <w:r>
        <w:t xml:space="preserve"> </w:t>
      </w:r>
      <w:r>
        <w:t xml:space="preserve">(Anil et al., 2024). Si decaen, el sistema no emite ningún error: falla en silencio.</w:t>
      </w:r>
      <w:r>
        <w:t xml:space="preserve"> </w:t>
      </w:r>
      <w:r>
        <w:t xml:space="preserve">Este trabajo aporta una estimación del efecto de tratamiento por tipo de</w:t>
      </w:r>
      <w:r>
        <w:t xml:space="preserve"> </w:t>
      </w:r>
      <w:r>
        <w:t xml:space="preserve">instrucción —con un modelo jerárquico que cuantifica la heterogeneidad de la</w:t>
      </w:r>
      <w:r>
        <w:t xml:space="preserve"> </w:t>
      </w:r>
      <w:r>
        <w:t xml:space="preserve">retención— y la justificación que esa medición ofrece para una estrategia de</w:t>
      </w:r>
      <w:r>
        <w:t xml:space="preserve"> </w:t>
      </w:r>
      <w:r>
        <w:t xml:space="preserve">refuerzo selectivo.</w:t>
      </w:r>
    </w:p>
    <w:bookmarkEnd w:id="10"/>
    <w:bookmarkStart w:id="11" w:name="contexto-y-definición-del-problema"/>
    <w:p>
      <w:pPr>
        <w:pStyle w:val="Heading1"/>
      </w:pPr>
      <w:r>
        <w:t xml:space="preserve">Contexto y definición del problema</w:t>
      </w:r>
    </w:p>
    <w:p>
      <w:pPr>
        <w:pStyle w:val="FirstParagraph"/>
      </w:pPr>
      <w:r>
        <w:t xml:space="preserve">Que los LLMs olvidan ya está documentado; lo que el trabajo busca entender es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lo hacen. La literatura informa métricas agregadas: un cumplimiento</w:t>
      </w:r>
      <w:r>
        <w:t xml:space="preserve"> </w:t>
      </w:r>
      <w:r>
        <w:t xml:space="preserve">medio que cae de un valor a otro. Pero un promedio oculta su estructura interna.</w:t>
      </w:r>
      <w:r>
        <w:t xml:space="preserve"> </w:t>
      </w:r>
      <w:r>
        <w:t xml:space="preserve">Si cada instrucción decae a un ritmo distinto, el promedio mezcla instrucciones</w:t>
      </w:r>
      <w:r>
        <w:t xml:space="preserve"> </w:t>
      </w:r>
      <w:r>
        <w:t xml:space="preserve">que el modelo retiene perfecto con otras que ignora.</w:t>
      </w:r>
    </w:p>
    <w:p>
      <w:pPr>
        <w:pStyle w:val="BodyText"/>
      </w:pPr>
      <w:r>
        <w:t xml:space="preserve">Esa distinción determina qué estrategia de mitigación tiene sentido. Una</w:t>
      </w:r>
      <w:r>
        <w:t xml:space="preserve"> </w:t>
      </w:r>
      <w:r>
        <w:t xml:space="preserve">instrucción que el modelo ya cumple por defecto no necesita recordatorio; una que</w:t>
      </w:r>
      <w:r>
        <w:t xml:space="preserve"> </w:t>
      </w:r>
      <w:r>
        <w:t xml:space="preserve">empeora al repetirse no debería reforzarse jamás. Sin saber a qué tipo pertenece</w:t>
      </w:r>
      <w:r>
        <w:t xml:space="preserve"> </w:t>
      </w:r>
      <w:r>
        <w:t xml:space="preserve">cada una, toda política de refuerzo opera a ciegas. De aquí surge la pregunta que</w:t>
      </w:r>
      <w:r>
        <w:t xml:space="preserve"> </w:t>
      </w:r>
      <w:r>
        <w:t xml:space="preserve">guía el trabajo:</w:t>
      </w:r>
      <w:r>
        <w:t xml:space="preserve"> </w:t>
      </w:r>
      <w:r>
        <w:rPr>
          <w:i/>
          <w:iCs/>
        </w:rPr>
        <w:t xml:space="preserve">¿la retención de instrucciones es homogénea o heterogénea</w:t>
      </w:r>
      <w:r>
        <w:rPr>
          <w:i/>
          <w:iCs/>
        </w:rPr>
        <w:t xml:space="preserve"> </w:t>
      </w:r>
      <w:r>
        <w:rPr>
          <w:i/>
          <w:iCs/>
        </w:rPr>
        <w:t xml:space="preserve">entre tipos de instrucción?</w:t>
      </w:r>
      <w:r>
        <w:t xml:space="preserve"> </w:t>
      </w:r>
      <w:r>
        <w:t xml:space="preserve">Si fuera homogénea, reforzar todo por igual bastaría;</w:t>
      </w:r>
      <w:r>
        <w:t xml:space="preserve"> </w:t>
      </w:r>
      <w:r>
        <w:t xml:space="preserve">si fuera heterogénea, hay que reforzar selectivamente, y para eso primero hay que</w:t>
      </w:r>
      <w:r>
        <w:t xml:space="preserve"> </w:t>
      </w:r>
      <w:r>
        <w:t xml:space="preserve">medirla.</w:t>
      </w:r>
    </w:p>
    <w:bookmarkEnd w:id="11"/>
    <w:bookmarkStart w:id="16" w:name="revisión-de-la-literatura"/>
    <w:p>
      <w:pPr>
        <w:pStyle w:val="Heading1"/>
      </w:pPr>
      <w:r>
        <w:t xml:space="preserve">Revisión de la literatura</w:t>
      </w:r>
    </w:p>
    <w:p>
      <w:pPr>
        <w:pStyle w:val="FirstParagraph"/>
      </w:pPr>
      <w:r>
        <w:t xml:space="preserve">Agrupo la literatura en cuatro bloques, según la función que cumplen en el</w:t>
      </w:r>
      <w:r>
        <w:t xml:space="preserve"> </w:t>
      </w:r>
      <w:r>
        <w:t xml:space="preserve">argumento.</w:t>
      </w:r>
    </w:p>
    <w:bookmarkStart w:id="12" w:name="medición-del-olvido."/>
    <w:p>
      <w:pPr>
        <w:pStyle w:val="Heading4"/>
      </w:pPr>
      <w:r>
        <w:t xml:space="preserve">Medición del olvido.</w:t>
      </w:r>
    </w:p>
    <w:p>
      <w:pPr>
        <w:pStyle w:val="FirstParagraph"/>
      </w:pPr>
      <w:r>
        <w:t xml:space="preserve">Laban et al. (2025) compararon el mismo modelo con</w:t>
      </w:r>
      <w:r>
        <w:t xml:space="preserve"> </w:t>
      </w:r>
      <w:r>
        <w:t xml:space="preserve">toda la información de una vez frente a la misma tarea fragmentada en turnos, sobre</w:t>
      </w:r>
      <w:r>
        <w:t xml:space="preserve"> </w:t>
      </w:r>
      <w:r>
        <w:t xml:space="preserve">quince modelos, y hallaron una caída promedio del 39% en el escenario multi-turno. Un detalle relevante: la</w:t>
      </w:r>
      <w:r>
        <w:t xml:space="preserve"> </w:t>
      </w:r>
      <w:r>
        <w:rPr>
          <w:i/>
          <w:iCs/>
        </w:rPr>
        <w:t xml:space="preserve">aptitud</w:t>
      </w:r>
      <w:r>
        <w:t xml:space="preserve"> </w:t>
      </w:r>
      <w:r>
        <w:t xml:space="preserve">del modelo baja</w:t>
      </w:r>
      <w:r>
        <w:t xml:space="preserve"> </w:t>
      </w:r>
      <w:r>
        <w:t xml:space="preserve">poco, mientras que la inestabilidad sube mucho; lo que se degrada no es tanto la</w:t>
      </w:r>
      <w:r>
        <w:t xml:space="preserve"> </w:t>
      </w:r>
      <w:r>
        <w:t xml:space="preserve">capacidad como la fiabilidad. He et al. (2024), en Meta, definieron el</w:t>
      </w:r>
      <w:r>
        <w:t xml:space="preserve"> </w:t>
      </w:r>
      <w:r>
        <w:rPr>
          <w:i/>
          <w:iCs/>
        </w:rPr>
        <w:t xml:space="preserve">Instruction Forgetting Ratio</w:t>
      </w:r>
      <w:r>
        <w:t xml:space="preserve"> </w:t>
      </w:r>
      <w:r>
        <w:t xml:space="preserve">y mostraron que la precisión de o1-preview cae</w:t>
      </w:r>
      <w:r>
        <w:t xml:space="preserve"> </w:t>
      </w:r>
      <w:r>
        <w:t xml:space="preserve">de 87,7% a 70,7% en tres turnos. Du et al. (2025) agregaron que ampliar la ventana</w:t>
      </w:r>
      <w:r>
        <w:t xml:space="preserve"> </w:t>
      </w:r>
      <w:r>
        <w:t xml:space="preserve">de contexto no resuelve la degradación. Los tres informan promedios, pero ninguno</w:t>
      </w:r>
      <w:r>
        <w:t xml:space="preserve"> </w:t>
      </w:r>
      <w:r>
        <w:t xml:space="preserve">estima efectos por instrucción ni propone una política de refuerzo.</w:t>
      </w:r>
    </w:p>
    <w:bookmarkEnd w:id="12"/>
    <w:bookmarkStart w:id="13" w:name="mecanismo-posición-y-saturación."/>
    <w:p>
      <w:pPr>
        <w:pStyle w:val="Heading4"/>
      </w:pPr>
      <w:r>
        <w:t xml:space="preserve">Mecanismo: posición y saturación.</w:t>
      </w:r>
    </w:p>
    <w:p>
      <w:pPr>
        <w:pStyle w:val="FirstParagraph"/>
      </w:pPr>
      <w:r>
        <w:t xml:space="preserve">Liu et al. (2024) identificaron una</w:t>
      </w:r>
      <w:r>
        <w:t xml:space="preserve"> </w:t>
      </w:r>
      <w:r>
        <w:t xml:space="preserve">curva en forma de U (</w:t>
      </w:r>
      <w:r>
        <w:rPr>
          <w:i/>
          <w:iCs/>
        </w:rPr>
        <w:t xml:space="preserve">lost in the middle</w:t>
      </w:r>
      <w:r>
        <w:t xml:space="preserve">): la información ubicada al comienzo</w:t>
      </w:r>
      <w:r>
        <w:t xml:space="preserve"> </w:t>
      </w:r>
      <w:r>
        <w:t xml:space="preserve">y al final pesa más que la del medio. Por eso las del system prompt (posición</w:t>
      </w:r>
      <w:r>
        <w:t xml:space="preserve"> </w:t>
      </w:r>
      <w:r>
        <w:t xml:space="preserve">cero) resisten mejor que las preferencias de mitad de conversación. Mu et al. (2025)</w:t>
      </w:r>
      <w:r>
        <w:t xml:space="preserve"> </w:t>
      </w:r>
      <w:r>
        <w:t xml:space="preserve">describieron un efecto distinto, de saturación: al acumular reglas (de 1 a 20 en su</w:t>
      </w:r>
      <w:r>
        <w:t xml:space="preserve"> </w:t>
      </w:r>
      <w:r>
        <w:t xml:space="preserve">prueba), la adherencia a cada una cae marcadamente. Uno es de posición; el otro, de</w:t>
      </w:r>
      <w:r>
        <w:t xml:space="preserve"> </w:t>
      </w:r>
      <w:r>
        <w:t xml:space="preserve">cantidad, y juntos muestran que la adherencia no decae de modo uniforme sino</w:t>
      </w:r>
      <w:r>
        <w:t xml:space="preserve"> </w:t>
      </w:r>
      <w:r>
        <w:t xml:space="preserve">estructurado.</w:t>
      </w:r>
    </w:p>
    <w:bookmarkEnd w:id="13"/>
    <w:bookmarkStart w:id="14" w:name="implicaciones-de-seguridad."/>
    <w:p>
      <w:pPr>
        <w:pStyle w:val="Heading4"/>
      </w:pPr>
      <w:r>
        <w:t xml:space="preserve">Implicaciones de seguridad.</w:t>
      </w:r>
    </w:p>
    <w:p>
      <w:pPr>
        <w:pStyle w:val="FirstParagraph"/>
      </w:pPr>
      <w:r>
        <w:t xml:space="preserve">Anil et al. (2024) midieron empíricamente</w:t>
      </w:r>
      <w:r>
        <w:t xml:space="preserve"> </w:t>
      </w:r>
      <w:r>
        <w:t xml:space="preserve">que la tasa de</w:t>
      </w:r>
      <w:r>
        <w:t xml:space="preserve"> </w:t>
      </w:r>
      <w:r>
        <w:rPr>
          <w:i/>
          <w:iCs/>
        </w:rPr>
        <w:t xml:space="preserve">jailbreak</w:t>
      </w:r>
      <w:r>
        <w:t xml:space="preserve"> </w:t>
      </w:r>
      <w:r>
        <w:t xml:space="preserve">aumenta de forma sistemática con la cantidad de</w:t>
      </w:r>
      <w:r>
        <w:t xml:space="preserve"> </w:t>
      </w:r>
      <w:r>
        <w:t xml:space="preserve">ejemplos previos en el contexto (</w:t>
      </w:r>
      <w:r>
        <w:rPr>
          <w:i/>
          <w:iCs/>
        </w:rPr>
        <w:t xml:space="preserve">many-shot jailbreaking</w:t>
      </w:r>
      <w:r>
        <w:t xml:space="preserve">): cuanto más largo,</w:t>
      </w:r>
      <w:r>
        <w:t xml:space="preserve"> </w:t>
      </w:r>
      <w:r>
        <w:t xml:space="preserve">más vulnerable. Rivasseau (2025) aportó la formalización (el cociente entre</w:t>
      </w:r>
      <w:r>
        <w:t xml:space="preserve"> </w:t>
      </w:r>
      <w:r>
        <w:t xml:space="preserve">los tokens del system prompt y el contexto total tiende a cero a medida que la</w:t>
      </w:r>
      <w:r>
        <w:t xml:space="preserve"> </w:t>
      </w:r>
      <w:r>
        <w:t xml:space="preserve">conversación crece) y propuso interrupciones periódicas, aún sin evaluación</w:t>
      </w:r>
      <w:r>
        <w:t xml:space="preserve"> </w:t>
      </w:r>
      <w:r>
        <w:t xml:space="preserve">empírica.</w:t>
      </w:r>
    </w:p>
    <w:bookmarkEnd w:id="14"/>
    <w:bookmarkStart w:id="15" w:name="modelos-bayesianos-del-comportamiento."/>
    <w:p>
      <w:pPr>
        <w:pStyle w:val="Heading4"/>
      </w:pPr>
      <w:r>
        <w:t xml:space="preserve">Modelos bayesianos del comportamiento.</w:t>
      </w:r>
    </w:p>
    <w:p>
      <w:pPr>
        <w:pStyle w:val="FirstParagraph"/>
      </w:pPr>
      <w:r>
        <w:t xml:space="preserve">Zhang et al. (2025) mostraron que</w:t>
      </w:r>
      <w:r>
        <w:t xml:space="preserve"> </w:t>
      </w:r>
      <w:r>
        <w:t xml:space="preserve">los LLM se comportan como filtros bayesianos descontados, con un factor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t xml:space="preserve">: el prior pierde peso frente a las observaciones recientes. Esto conecta</w:t>
      </w:r>
      <w:r>
        <w:t xml:space="preserve"> </w:t>
      </w:r>
      <w:r>
        <w:t xml:space="preserve">con Laban et al. (2025): una varianza que explota es justo lo que produce un</w:t>
      </w:r>
      <w:r>
        <w:t xml:space="preserve"> </w:t>
      </w:r>
      <w:r>
        <w:t xml:space="preserve">posterior inestable. En educación, el</w:t>
      </w:r>
      <w:r>
        <w:t xml:space="preserve"> </w:t>
      </w:r>
      <w:r>
        <w:rPr>
          <w:i/>
          <w:iCs/>
        </w:rPr>
        <w:t xml:space="preserve">Bayesian Knowledge Tracing</w:t>
      </w:r>
      <w:r>
        <w:t xml:space="preserve"> </w:t>
      </w:r>
      <w:r>
        <w:t xml:space="preserve">(Corbett &amp; Anderson, 1994) estima desde hace tres décadas, turno a turno, la probabilidad</w:t>
      </w:r>
      <w:r>
        <w:t xml:space="preserve"> </w:t>
      </w:r>
      <w:r>
        <w:t xml:space="preserve">de que un estudiante domine un concepto. La inversión conceptual que propongo es</w:t>
      </w:r>
      <w:r>
        <w:t xml:space="preserve"> </w:t>
      </w:r>
      <w:r>
        <w:t xml:space="preserve">tratar al LLM como el</w:t>
      </w:r>
      <w:r>
        <w:t xml:space="preserve"> </w:t>
      </w:r>
      <w:r>
        <w:t xml:space="preserve">“estudiante”</w:t>
      </w:r>
      <w:r>
        <w:t xml:space="preserve"> </w:t>
      </w:r>
      <w:r>
        <w:t xml:space="preserve">y a sus instrucciones como los</w:t>
      </w:r>
      <w:r>
        <w:t xml:space="preserve"> </w:t>
      </w:r>
      <w:r>
        <w:t xml:space="preserve">“conceptos”</w:t>
      </w:r>
      <w:r>
        <w:t xml:space="preserve">.</w:t>
      </w:r>
    </w:p>
    <w:bookmarkEnd w:id="15"/>
    <w:bookmarkEnd w:id="16"/>
    <w:bookmarkStart w:id="18" w:name="comparación-de-enfoques"/>
    <w:p>
      <w:pPr>
        <w:pStyle w:val="Heading1"/>
      </w:pPr>
      <w:r>
        <w:t xml:space="preserve">Comparación de enfoques</w:t>
      </w:r>
    </w:p>
    <w:p>
      <w:pPr>
        <w:pStyle w:val="FirstParagraph"/>
      </w:pPr>
      <w:r>
        <w:t xml:space="preserve">Las estrategias actuales comparten un mismo límite (Tabla </w:t>
      </w:r>
      <w:hyperlink w:anchor="tab:mitig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17" w:name="tab:mitig"/>
    <w:p>
      <w:pPr>
        <w:pStyle w:val="TableCaption"/>
      </w:pPr>
      <w:r>
        <w:t xml:space="preserve">Estrategias de mitigación del</w:t>
      </w:r>
      <w:r>
        <w:t xml:space="preserve"> </w:t>
      </w:r>
      <w:r>
        <w:rPr>
          <w:i/>
          <w:iCs/>
        </w:rPr>
        <w:t xml:space="preserve">context rot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rategias de mitigación del context ro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Repetir el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Re-inyectar todas las reglas cada turno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Saturación: más reglas pueden empeorar (Mu et al.,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Jerarquía de instrucciones (Wallace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por origen, aprendido en el 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 roles, no instrucciones; es estática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Duplicar el prompt (Leviathan et al.,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la consulta (</w:t>
            </w:r>
            <w:r>
              <w:rPr>
                <w:rStyle w:val="VerbatimChar"/>
              </w:rPr>
              <w:t xml:space="preserve">&lt;Q&gt;&lt;Q&gt;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 todo por igual, sin priorizar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Recordatorios fijos (Dongre et al.,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Re-inyectar el objetivo en turnos predefinidos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1,2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Calendario fijo, no adaptativo</w:t>
            </w:r>
          </w:p>
        </w:tc>
      </w:tr>
    </w:tbl>
    <w:bookmarkEnd w:id="17"/>
    <w:p>
      <w:pPr>
        <w:pStyle w:val="BodyText"/>
      </w:pPr>
      <w:r>
        <w:t xml:space="preserve">Las cuatro hacen lo mismo: tratan al conjunto de instrucciones como un bloque y lo</w:t>
      </w:r>
      <w:r>
        <w:t xml:space="preserve"> </w:t>
      </w:r>
      <w:r>
        <w:t xml:space="preserve">refuerzan por igual. Ninguna decide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reforzar ni</w:t>
      </w:r>
      <w:r>
        <w:t xml:space="preserve"> </w:t>
      </w:r>
      <w:r>
        <w:rPr>
          <w:i/>
          <w:iCs/>
        </w:rPr>
        <w:t xml:space="preserve">cuándo</w:t>
      </w:r>
      <w:r>
        <w:t xml:space="preserve">. La</w:t>
      </w:r>
      <w:r>
        <w:t xml:space="preserve"> </w:t>
      </w:r>
      <w:r>
        <w:t xml:space="preserve">jerarquía de Wallace et al. (2024) ordena roles, pero dentro de un mismo rol no</w:t>
      </w:r>
      <w:r>
        <w:t xml:space="preserve"> </w:t>
      </w:r>
      <w:r>
        <w:t xml:space="preserve">aborda el decaimiento temporal; la duplicación de Leviathan et al. (2025) y los</w:t>
      </w:r>
      <w:r>
        <w:t xml:space="preserve"> </w:t>
      </w:r>
      <w:r>
        <w:t xml:space="preserve">recordatorios de Dongre et al. (2025) reinyectan el contenido completo sin distinguir</w:t>
      </w:r>
      <w:r>
        <w:t xml:space="preserve"> </w:t>
      </w:r>
      <w:r>
        <w:t xml:space="preserve">entre lo que el modelo ya retuvo y lo que olvidó. Todas asumen, implícitamente, que</w:t>
      </w:r>
      <w:r>
        <w:t xml:space="preserve"> </w:t>
      </w:r>
      <w:r>
        <w:t xml:space="preserve">las instrucciones son intercambiables; la medición que sigue muestra que no lo son.</w:t>
      </w:r>
    </w:p>
    <w:bookmarkEnd w:id="18"/>
    <w:bookmarkStart w:id="19" w:name="limitaciones-de-los-enfoques-actuales"/>
    <w:p>
      <w:pPr>
        <w:pStyle w:val="Heading1"/>
      </w:pPr>
      <w:r>
        <w:t xml:space="preserve">Limitaciones de los enfoques actuales</w:t>
      </w:r>
    </w:p>
    <w:p>
      <w:pPr>
        <w:pStyle w:val="FirstParagraph"/>
      </w:pPr>
      <w:r>
        <w:t xml:space="preserve">Algunos trabajos empiezan a distinguir tipos: Wu et al. (2025) muestran que</w:t>
      </w:r>
      <w:r>
        <w:t xml:space="preserve"> </w:t>
      </w:r>
      <w:r>
        <w:t xml:space="preserve">ciertas restricciones (de rango, periódicas) se degradan más que las de paso único</w:t>
      </w:r>
      <w:r>
        <w:t xml:space="preserve"> </w:t>
      </w:r>
      <w:r>
        <w:t xml:space="preserve">en generación larga. Pero ninguno estima el efecto por tipo de instrucción ni</w:t>
      </w:r>
      <w:r>
        <w:t xml:space="preserve"> </w:t>
      </w:r>
      <w:r>
        <w:t xml:space="preserve">deriva de ahí una política de refuerzo, y ese es el hueco. La métrica agregada</w:t>
      </w:r>
      <w:r>
        <w:t xml:space="preserve"> </w:t>
      </w:r>
      <w:r>
        <w:t xml:space="preserve">esconde la estructura que importa: un cumplimiento medio del 70% no distingue</w:t>
      </w:r>
      <w:r>
        <w:t xml:space="preserve"> </w:t>
      </w:r>
      <w:r>
        <w:t xml:space="preserve">diez reglas al 100% y diez al 40% de veinte al 70%, y esa diferencia cambia qué</w:t>
      </w:r>
      <w:r>
        <w:t xml:space="preserve"> </w:t>
      </w:r>
      <w:r>
        <w:t xml:space="preserve">conviene reforzar. El refuerzo uniforme, en consecuencia, desperdicia presupuesto</w:t>
      </w:r>
      <w:r>
        <w:t xml:space="preserve"> </w:t>
      </w:r>
      <w:r>
        <w:t xml:space="preserve">en instrucciones que no lo necesitan y puede ser contraproducente en aquellas que</w:t>
      </w:r>
      <w:r>
        <w:t xml:space="preserve"> </w:t>
      </w:r>
      <w:r>
        <w:t xml:space="preserve">empeoran con la repetición. Además, hasta donde llega esta revisión, las grandes</w:t>
      </w:r>
      <w:r>
        <w:t xml:space="preserve"> </w:t>
      </w:r>
      <w:r>
        <w:t xml:space="preserve">empresas y laboratorios (Anthropic, OpenAI, Google, Meta) no publicaron mediciones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context rot</w:t>
      </w:r>
      <w:r>
        <w:t xml:space="preserve"> </w:t>
      </w:r>
      <w:r>
        <w:t xml:space="preserve">desagregadas por tipo de instrucción sino que las</w:t>
      </w:r>
      <w:r>
        <w:t xml:space="preserve"> </w:t>
      </w:r>
      <w:r>
        <w:t xml:space="preserve">mitigaciones son uniformes, en parte, porque no se cuenta con datos para</w:t>
      </w:r>
      <w:r>
        <w:t xml:space="preserve"> </w:t>
      </w:r>
      <w:r>
        <w:t xml:space="preserve">discriminar.</w:t>
      </w:r>
    </w:p>
    <w:p>
      <w:pPr>
        <w:pStyle w:val="BodyText"/>
      </w:pPr>
      <w:r>
        <w:t xml:space="preserve">Esta limitación motiva directamente el trabajo: sin una medición por instrucción,</w:t>
      </w:r>
      <w:r>
        <w:t xml:space="preserve"> </w:t>
      </w:r>
      <w:r>
        <w:t xml:space="preserve">el refuerzo selectivo sería pura especulación. Por eso, antes de proponerlo, había</w:t>
      </w:r>
      <w:r>
        <w:t xml:space="preserve"> </w:t>
      </w:r>
      <w:r>
        <w:t xml:space="preserve">que producir la medición que lo justificara. La propuesta que sigue se deriva de</w:t>
      </w:r>
      <w:r>
        <w:t xml:space="preserve"> </w:t>
      </w:r>
      <w:r>
        <w:t xml:space="preserve">cubrir ese vacío.</w:t>
      </w:r>
    </w:p>
    <w:bookmarkEnd w:id="19"/>
    <w:bookmarkStart w:id="29" w:name="propuesta-de-solución"/>
    <w:p>
      <w:pPr>
        <w:pStyle w:val="Heading1"/>
      </w:pPr>
      <w:r>
        <w:t xml:space="preserve">Propuesta de solución</w:t>
      </w:r>
    </w:p>
    <w:p>
      <w:pPr>
        <w:pStyle w:val="FirstParagraph"/>
      </w:pPr>
      <w:r>
        <w:t xml:space="preserve">La propuesta tiene dos partes. La primera mide la heterogeneidad de la retención</w:t>
      </w:r>
      <w:r>
        <w:t xml:space="preserve"> </w:t>
      </w:r>
      <w:r>
        <w:t xml:space="preserve">(el grueso del trabajo y el aporte metodológico); la segunda es el sistema de</w:t>
      </w:r>
      <w:r>
        <w:t xml:space="preserve"> </w:t>
      </w:r>
      <w:r>
        <w:t xml:space="preserve">refuerzo selectivo que ese resultado habilita; el sistema solo se justifica si la</w:t>
      </w:r>
      <w:r>
        <w:t xml:space="preserve"> </w:t>
      </w:r>
      <w:r>
        <w:t xml:space="preserve">medición muestra esa heterogeneidad.</w:t>
      </w:r>
    </w:p>
    <w:bookmarkStart w:id="20" w:name="el-harness-cómo-medí-la-retención"/>
    <w:p>
      <w:pPr>
        <w:pStyle w:val="Heading2"/>
      </w:pPr>
      <w:r>
        <w:t xml:space="preserve">El</w:t>
      </w:r>
      <w:r>
        <w:t xml:space="preserve"> </w:t>
      </w:r>
      <w:r>
        <w:rPr>
          <w:i/>
          <w:iCs/>
        </w:rPr>
        <w:t xml:space="preserve">harness</w:t>
      </w:r>
      <w:r>
        <w:t xml:space="preserve">: cómo medí la retención</w:t>
      </w:r>
    </w:p>
    <w:p>
      <w:pPr>
        <w:pStyle w:val="FirstParagraph"/>
      </w:pPr>
      <w:r>
        <w:t xml:space="preserve">Para medir si una instrucción se olvida hace falta una conversación realista,</w:t>
      </w:r>
      <w:r>
        <w:t xml:space="preserve"> </w:t>
      </w:r>
      <w:r>
        <w:t xml:space="preserve">larga, con presión de contexto creciente, y al final una consigna que revele si el</w:t>
      </w:r>
      <w:r>
        <w:t xml:space="preserve"> </w:t>
      </w:r>
      <w:r>
        <w:t xml:space="preserve">modelo todavía respeta algo que se le pidió treinta mensajes atrás. Construí en</w:t>
      </w:r>
      <w:r>
        <w:t xml:space="preserve"> </w:t>
      </w:r>
      <w:r>
        <w:t xml:space="preserve">Python un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con las siguientes piezas.</w:t>
      </w:r>
    </w:p>
    <w:p>
      <w:pPr>
        <w:pStyle w:val="BodyText"/>
      </w:pPr>
      <w:r>
        <w:rPr>
          <w:b/>
          <w:bCs/>
        </w:rPr>
        <w:t xml:space="preserve">Codebases reales como fuente de presión.</w:t>
      </w:r>
      <w:r>
        <w:t xml:space="preserve"> </w:t>
      </w:r>
      <w:r>
        <w:t xml:space="preserve">En lugar de rellenar el contexto</w:t>
      </w:r>
      <w:r>
        <w:t xml:space="preserve"> </w:t>
      </w:r>
      <w:r>
        <w:t xml:space="preserve">con texto sintético, el harness opera sobre tres librerías reales del ecosistema</w:t>
      </w:r>
      <w:r>
        <w:t xml:space="preserve"> </w:t>
      </w:r>
      <w:r>
        <w:t xml:space="preserve">bayesiano de Python, elegidas por tamaño creciente: Bambi (Capretto et al., 2022)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10K líneas), ArviZ (Kumar et al., 2019) (</w:t>
      </w:r>
      <m:oMath>
        <m:r>
          <m:rPr>
            <m:sty m:val="p"/>
          </m:rPr>
          <m:t>∼</m:t>
        </m:r>
      </m:oMath>
      <w:r>
        <w:t xml:space="preserve">25K) y PyMC (Abril-Pla et al., 2023)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57K). Durante los primeros veinte turnos inyecta en la conversación</w:t>
      </w:r>
      <w:r>
        <w:t xml:space="preserve"> </w:t>
      </w:r>
      <w:r>
        <w:t xml:space="preserve">archivos de código fuente reales de esas librerías, lo que genera un gradiente de</w:t>
      </w:r>
      <w:r>
        <w:t xml:space="preserve"> </w:t>
      </w:r>
      <w:r>
        <w:t xml:space="preserve">presión (Bambi alcanza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98K tokens de contexto; PyMC,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203K) y separa el</w:t>
      </w:r>
      <w:r>
        <w:t xml:space="preserve"> </w:t>
      </w:r>
      <w:r>
        <w:t xml:space="preserve">efecto del contexto del de la instrucción.</w:t>
      </w:r>
    </w:p>
    <w:p>
      <w:pPr>
        <w:pStyle w:val="BodyText"/>
      </w:pPr>
      <w:r>
        <w:rPr>
          <w:b/>
          <w:bCs/>
        </w:rPr>
        <w:t xml:space="preserve">Plantado de decisiones.</w:t>
      </w:r>
      <w:r>
        <w:t xml:space="preserve"> </w:t>
      </w:r>
      <w:r>
        <w:t xml:space="preserve">Definí doce</w:t>
      </w:r>
      <w:r>
        <w:t xml:space="preserve"> </w:t>
      </w:r>
      <w:r>
        <w:t xml:space="preserve">“decisiones”</w:t>
      </w:r>
      <w:r>
        <w:t xml:space="preserve"> </w:t>
      </w:r>
      <w:r>
        <w:t xml:space="preserve">de programación:</w:t>
      </w:r>
      <w:r>
        <w:t xml:space="preserve"> </w:t>
      </w:r>
      <w:r>
        <w:t xml:space="preserve">preferencias de estilo, arquitectura, testing, nomenclatura, dependencias y</w:t>
      </w:r>
      <w:r>
        <w:t xml:space="preserve"> </w:t>
      </w:r>
      <w:r>
        <w:t xml:space="preserve">documentación. En la condición</w:t>
      </w:r>
      <w:r>
        <w:t xml:space="preserve"> </w:t>
      </w:r>
      <w:r>
        <w:rPr>
          <w:i/>
          <w:iCs/>
        </w:rPr>
        <w:t xml:space="preserve">tratamiento</w:t>
      </w:r>
      <w:r>
        <w:t xml:space="preserve">, esas doce preferencias se</w:t>
      </w:r>
      <w:r>
        <w:t xml:space="preserve"> </w:t>
      </w:r>
      <w:r>
        <w:t xml:space="preserve">plantan como pedidos casuales, en línea, dentro de los mensajes del usuario (seis</w:t>
      </w:r>
      <w:r>
        <w:t xml:space="preserve"> </w:t>
      </w:r>
      <w:r>
        <w:t xml:space="preserve">temprano, en los turnos 1–7; seis tarde, en los 14–19); por ejemplo:</w:t>
      </w:r>
      <w:r>
        <w:t xml:space="preserve"> </w:t>
      </w:r>
      <w:r>
        <w:rPr>
          <w:i/>
          <w:iCs/>
        </w:rPr>
        <w:t xml:space="preserve">“Importante: cuando escribas operaciones con arrays en este proyecto, usá</w:t>
      </w:r>
      <w:r>
        <w:rPr>
          <w:i/>
          <w:iCs/>
        </w:rPr>
        <w:t xml:space="preserve"> </w:t>
      </w:r>
      <w:r>
        <w:rPr>
          <w:i/>
          <w:iCs/>
        </w:rPr>
        <w:t xml:space="preserve">siempre broadcasting de numpy en vez de for loops”</w:t>
      </w:r>
      <w:r>
        <w:t xml:space="preserve">. Son preferencias del usuario</w:t>
      </w:r>
      <w:r>
        <w:t xml:space="preserve"> </w:t>
      </w:r>
      <w:r>
        <w:t xml:space="preserve">inyectadas a mitad de conversación, no reglas del system prompt: el caso difícil,</w:t>
      </w:r>
      <w:r>
        <w:t xml:space="preserve"> </w:t>
      </w:r>
      <w:r>
        <w:t xml:space="preserve">sin la ventaja posicional de la posición cero. La condición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es</w:t>
      </w:r>
      <w:r>
        <w:t xml:space="preserve"> </w:t>
      </w:r>
      <w:r>
        <w:t xml:space="preserve">idéntica pero no planta nada, y mide qué hace el modelo por defecto.</w:t>
      </w:r>
    </w:p>
    <w:p>
      <w:pPr>
        <w:pStyle w:val="BodyText"/>
      </w:pPr>
      <w:r>
        <w:rPr>
          <w:b/>
          <w:bCs/>
        </w:rPr>
        <w:t xml:space="preserve">Turnos de evaluación.</w:t>
      </w:r>
      <w:r>
        <w:t xml:space="preserve"> </w:t>
      </w:r>
      <w:r>
        <w:t xml:space="preserve">En los turnos 20–25, el usuario solicita tareas de</w:t>
      </w:r>
      <w:r>
        <w:t xml:space="preserve"> </w:t>
      </w:r>
      <w:r>
        <w:t xml:space="preserve">generación de código diseñadas para forzar cada decisión. Cada turno de test</w:t>
      </w:r>
      <w:r>
        <w:t xml:space="preserve"> </w:t>
      </w:r>
      <w:r>
        <w:t xml:space="preserve">evalúa exactamente dos decisiones, una temprana y una tardía, para medir el olvido</w:t>
      </w:r>
      <w:r>
        <w:t xml:space="preserve"> </w:t>
      </w:r>
      <w:r>
        <w:t xml:space="preserve">reciente y también el de largo plazo.</w:t>
      </w:r>
    </w:p>
    <w:p>
      <w:pPr>
        <w:pStyle w:val="BodyText"/>
      </w:pPr>
      <w:r>
        <w:rPr>
          <w:b/>
          <w:bCs/>
        </w:rPr>
        <w:t xml:space="preserve">Verificadores determinísticos.</w:t>
      </w:r>
      <w:r>
        <w:t xml:space="preserve"> </w:t>
      </w:r>
      <w:r>
        <w:t xml:space="preserve">Aquí reside la reproducibilidad. Cada una</w:t>
      </w:r>
      <w:r>
        <w:t xml:space="preserve"> </w:t>
      </w:r>
      <w:r>
        <w:t xml:space="preserve">de las doce decisiones se evalúa con un</w:t>
      </w:r>
      <w:r>
        <w:t xml:space="preserve"> </w:t>
      </w:r>
      <w:r>
        <w:rPr>
          <w:i/>
          <w:iCs/>
        </w:rPr>
        <w:t xml:space="preserve">checker</w:t>
      </w:r>
      <w:r>
        <w:t xml:space="preserve"> </w:t>
      </w:r>
      <w:r>
        <w:t xml:space="preserve">que analiza el código</w:t>
      </w:r>
      <w:r>
        <w:t xml:space="preserve"> </w:t>
      </w:r>
      <w:r>
        <w:t xml:space="preserve">generado mediante expresiones regulares y</w:t>
      </w:r>
      <w:r>
        <w:t xml:space="preserve"> </w:t>
      </w:r>
      <w:r>
        <w:rPr>
          <w:i/>
          <w:iCs/>
        </w:rPr>
        <w:t xml:space="preserve">pattern matching</w:t>
      </w:r>
      <w:r>
        <w:t xml:space="preserve">, y produce un</w:t>
      </w:r>
      <w:r>
        <w:t xml:space="preserve"> </w:t>
      </w:r>
      <w:r>
        <w:t xml:space="preserve">puntaje ordinal de 0 a 3 (0 = ignorada; 3 = cumplida por completo). No interviene</w:t>
      </w:r>
      <w:r>
        <w:t xml:space="preserve"> </w:t>
      </w:r>
      <w:r>
        <w:t xml:space="preserve">ningún LLM como juez en el</w:t>
      </w:r>
      <w:r>
        <w:t xml:space="preserve"> </w:t>
      </w:r>
      <w:r>
        <w:rPr>
          <w:i/>
          <w:iCs/>
        </w:rPr>
        <w:t xml:space="preserve">scoring</w:t>
      </w:r>
      <w:r>
        <w:t xml:space="preserve">: el resultado es reproducible entre</w:t>
      </w:r>
      <w:r>
        <w:t xml:space="preserve"> </w:t>
      </w:r>
      <w:r>
        <w:t xml:space="preserve">corridas. Tiene un límite de validez de constructo: cuando el checker no halla la</w:t>
      </w:r>
      <w:r>
        <w:t xml:space="preserve"> </w:t>
      </w:r>
      <w:r>
        <w:t xml:space="preserve">señal asigna 2 por defecto, y cuatro decisiones superan el 50% de esos casos; las</w:t>
      </w:r>
      <w:r>
        <w:t xml:space="preserve"> </w:t>
      </w:r>
      <w:r>
        <w:t xml:space="preserve">tres con efectos más fuertes (</w:t>
      </w:r>
      <w:r>
        <w:rPr>
          <w:rStyle w:val="VerbatimChar"/>
        </w:rPr>
        <w:t xml:space="preserve">parametrize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no_new</w:t>
      </w:r>
      <w:r>
        <w:t xml:space="preserve">) tienen 0% de ese caso, así que los hallazgos centrales no</w:t>
      </w:r>
      <w:r>
        <w:t xml:space="preserve"> </w:t>
      </w:r>
      <w:r>
        <w:t xml:space="preserve">dependen del artefacto. Por ejemplo, el verificador de</w:t>
      </w:r>
      <w:r>
        <w:t xml:space="preserve"> </w:t>
      </w:r>
      <w:r>
        <w:rPr>
          <w:rStyle w:val="VerbatimChar"/>
        </w:rPr>
        <w:t xml:space="preserve">testing_parametrize</w:t>
      </w:r>
      <w:r>
        <w:t xml:space="preserve"> </w:t>
      </w:r>
      <w:r>
        <w:t xml:space="preserve">busca el decorador</w:t>
      </w:r>
      <w:r>
        <w:t xml:space="preserve"> </w:t>
      </w:r>
      <w:r>
        <w:rPr>
          <w:rStyle w:val="VerbatimChar"/>
        </w:rPr>
        <w:t xml:space="preserve">@pytest.mark.parametrize</w:t>
      </w:r>
      <w:r>
        <w:t xml:space="preserve"> </w:t>
      </w:r>
      <w:r>
        <w:t xml:space="preserve">y penaliza funciones de test</w:t>
      </w:r>
      <w:r>
        <w:t xml:space="preserve"> </w:t>
      </w:r>
      <w:r>
        <w:t xml:space="preserve">separadas; el de</w:t>
      </w:r>
      <w:r>
        <w:t xml:space="preserve"> </w:t>
      </w:r>
      <w:r>
        <w:rPr>
          <w:rStyle w:val="VerbatimChar"/>
        </w:rPr>
        <w:t xml:space="preserve">broadcasting</w:t>
      </w:r>
      <w:r>
        <w:t xml:space="preserve"> </w:t>
      </w:r>
      <w:r>
        <w:t xml:space="preserve">detecta bucles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frente a numpy.</w:t>
      </w:r>
    </w:p>
    <w:p>
      <w:pPr>
        <w:pStyle w:val="BodyText"/>
      </w:pPr>
      <w:r>
        <w:rPr>
          <w:b/>
          <w:bCs/>
        </w:rPr>
        <w:t xml:space="preserve">Lazo de herramientas y multiproveedor.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runner</w:t>
      </w:r>
      <w:r>
        <w:t xml:space="preserve"> </w:t>
      </w:r>
      <w:r>
        <w:t xml:space="preserve">gestiona un ciclo</w:t>
      </w:r>
      <w:r>
        <w:t xml:space="preserve"> </w:t>
      </w:r>
      <w:r>
        <w:t xml:space="preserve">de llamadas a herramientas (leer, buscar, escribir con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) sobre</w:t>
      </w:r>
      <w:r>
        <w:t xml:space="preserve"> </w:t>
      </w:r>
      <w:r>
        <w:t xml:space="preserve">una capa de proveedores intercambiable, que permitió evaluar cinco modelos vía</w:t>
      </w:r>
      <w:r>
        <w:t xml:space="preserve"> </w:t>
      </w:r>
      <w:r>
        <w:t xml:space="preserve">OpenRouter y la API de OpenAI. Como base, el harness usa DeepEval (Ip, 2025)</w:t>
      </w:r>
      <w:r>
        <w:t xml:space="preserve"> </w:t>
      </w:r>
      <w:r>
        <w:t xml:space="preserve">para las métricas con LLM como juez (persona y seguridad); en cambio, los doce</w:t>
      </w:r>
      <w:r>
        <w:t xml:space="preserve"> </w:t>
      </w:r>
      <w:r>
        <w:t xml:space="preserve">verificadores de decisión que sostienen estos resultados son propios y</w:t>
      </w:r>
      <w:r>
        <w:t xml:space="preserve"> </w:t>
      </w:r>
      <w:r>
        <w:t xml:space="preserve">determinísticos.</w:t>
      </w:r>
    </w:p>
    <w:bookmarkEnd w:id="20"/>
    <w:bookmarkStart w:id="21" w:name="datos-y-modelo-bayesiano"/>
    <w:p>
      <w:pPr>
        <w:pStyle w:val="Heading2"/>
      </w:pPr>
      <w:r>
        <w:t xml:space="preserve">Datos y modelo bayesiano</w:t>
      </w:r>
    </w:p>
    <w:p>
      <w:pPr>
        <w:pStyle w:val="FirstParagraph"/>
      </w:pPr>
      <w:r>
        <w:t xml:space="preserve">El conjunto final consta de 28 conversaciones (9</w:t>
      </w:r>
      <w:r>
        <w:t xml:space="preserve"> </w:t>
      </w:r>
      <w:r>
        <w:rPr>
          <w:i/>
          <w:iCs/>
        </w:rPr>
        <w:t xml:space="preserve">baseline</w:t>
      </w:r>
      <w:r>
        <w:t xml:space="preserve">, 19 tratamiento)</w:t>
      </w:r>
      <w:r>
        <w:t xml:space="preserve"> </w:t>
      </w:r>
      <w:r>
        <w:t xml:space="preserve">y 244 observaciones de cumplimiento (cada una es una decisión puntuada en un turno</w:t>
      </w:r>
      <w:r>
        <w:t xml:space="preserve"> </w:t>
      </w:r>
      <w:r>
        <w:t xml:space="preserve">de test) sobre cinco modelos (Qwen 3.5-27B como principal, con ambas condiciones;</w:t>
      </w:r>
      <w:r>
        <w:t xml:space="preserve"> </w:t>
      </w:r>
      <w:r>
        <w:t xml:space="preserve">más Gemini 3.1 Flash Lite, GPT-5.4-nano, Nemotron 3 Super 120B y Gemma 4, solo en</w:t>
      </w:r>
      <w:r>
        <w:t xml:space="preserve"> </w:t>
      </w:r>
      <w:r>
        <w:t xml:space="preserve">tratamiento).</w:t>
      </w:r>
    </w:p>
    <w:p>
      <w:pPr>
        <w:pStyle w:val="BodyText"/>
      </w:pPr>
      <w:r>
        <w:t xml:space="preserve">Sobre esas observaciones ordinales ajusté una regresión logística ordinal con</w:t>
      </w:r>
      <w:r>
        <w:t xml:space="preserve"> </w:t>
      </w:r>
      <w:r>
        <w:t xml:space="preserve">efectos jerárquicos por tipo de decisión. El modelo ordinal es la elección</w:t>
      </w:r>
      <w:r>
        <w:t xml:space="preserve"> </w:t>
      </w:r>
      <w:r>
        <w:t xml:space="preserve">correcta porque la escala 0–3 no tiene intervalos iguales: el salto de</w:t>
      </w:r>
      <w:r>
        <w:t xml:space="preserve"> </w:t>
      </w:r>
      <w:r>
        <w:t xml:space="preserve">“ignorada”</w:t>
      </w:r>
      <w:r>
        <w:t xml:space="preserve"> </w:t>
      </w:r>
      <w:r>
        <w:t xml:space="preserve">(0) a</w:t>
      </w:r>
      <w:r>
        <w:t xml:space="preserve"> </w:t>
      </w:r>
      <w:r>
        <w:t xml:space="preserve">“mínima”</w:t>
      </w:r>
      <w:r>
        <w:t xml:space="preserve"> </w:t>
      </w:r>
      <w:r>
        <w:t xml:space="preserve">(1) no equivale al de</w:t>
      </w:r>
      <w:r>
        <w:t xml:space="preserve"> </w:t>
      </w:r>
      <w:r>
        <w:t xml:space="preserve">“casi”</w:t>
      </w:r>
      <w:r>
        <w:t xml:space="preserve"> </w:t>
      </w:r>
      <w:r>
        <w:t xml:space="preserve">a</w:t>
      </w:r>
      <w:r>
        <w:t xml:space="preserve"> </w:t>
      </w:r>
      <w:r>
        <w:t xml:space="preserve">“completa”</w:t>
      </w:r>
      <w:r>
        <w:t xml:space="preserve">. Para</w:t>
      </w:r>
      <w:r>
        <w:t xml:space="preserve"> </w:t>
      </w:r>
      <w:r>
        <w:t xml:space="preserve">cada observación, el cumplimiento latente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d</m:t>
            </m:r>
            <m:r>
              <m:rPr>
                <m:sty m:val="p"/>
              </m:rPr>
              <m:t>[</m:t>
            </m:r>
            <m:r>
              <m:t>i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d</m:t>
            </m:r>
            <m:r>
              <m:rPr>
                <m:sty m:val="p"/>
              </m:rPr>
              <m:t>[</m:t>
            </m:r>
            <m:r>
              <m:t>i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tratamiento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combina un</w:t>
      </w:r>
      <w:r>
        <w:t xml:space="preserve"> </w:t>
      </w:r>
      <w:r>
        <w:t xml:space="preserve">intercepto por decisión</w:t>
      </w:r>
      <w:r>
        <w:t xml:space="preserve"> </w:t>
      </w:r>
      <m:oMath>
        <m:sSub>
          <m:e>
            <m:r>
              <m:t>α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(lo que el modelo hace sin que le digan) y un</w:t>
      </w:r>
      <w:r>
        <w:t xml:space="preserve"> </w:t>
      </w:r>
      <w:r>
        <w:t xml:space="preserve">efecto de tratamiento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(cuánto mejora al pedírselo). El parámetro de</w:t>
      </w:r>
      <w:r>
        <w:t xml:space="preserve"> </w:t>
      </w:r>
      <w:r>
        <w:t xml:space="preserve">interés es</w:t>
      </w:r>
      <w:r>
        <w:t xml:space="preserve"> </w:t>
      </w:r>
      <m:oMath>
        <m:sSub>
          <m:e>
            <m:r>
              <m:t>σ</m:t>
            </m:r>
          </m:e>
          <m:sub>
            <m:r>
              <m:t>β</m:t>
            </m:r>
          </m:sub>
        </m:sSub>
      </m:oMath>
      <w:r>
        <w:t xml:space="preserve">, el desvío estándar grupal de los efectos: un</w:t>
      </w:r>
      <w:r>
        <w:t xml:space="preserve"> </w:t>
      </w:r>
      <m:oMath>
        <m:sSub>
          <m:e>
            <m:r>
              <m:t>σ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grande indica que distintas instrucciones responden muy distinto a</w:t>
      </w:r>
      <w:r>
        <w:t xml:space="preserve"> </w:t>
      </w:r>
      <w:r>
        <w:t xml:space="preserve">ser enunciadas: la heterogeneidad que el refuerzo selectivo necesita. El ajuste se</w:t>
      </w:r>
      <w:r>
        <w:t xml:space="preserve"> </w:t>
      </w:r>
      <w:r>
        <w:t xml:space="preserve">hizo en PyMC (Abril-Pla et al., 2023) con NUTS (Hoffman &amp; Gelman, 2014) vía nutpie</w:t>
      </w:r>
      <w:r>
        <w:t xml:space="preserve"> </w:t>
      </w:r>
      <w:r>
        <w:t xml:space="preserve">(Seyboldt, 2024), más verificaciones predictivas.</w:t>
      </w:r>
    </w:p>
    <w:bookmarkEnd w:id="21"/>
    <w:bookmarkStart w:id="27" w:name="resultados"/>
    <w:p>
      <w:pPr>
        <w:pStyle w:val="Heading2"/>
      </w:pPr>
      <w:r>
        <w:t xml:space="preserve">Resultados</w:t>
      </w:r>
    </w:p>
    <w:p>
      <w:pPr>
        <w:pStyle w:val="FirstParagraph"/>
      </w:pPr>
      <w:r>
        <w:t xml:space="preserve">El modelo convergió de forma limpia (cero transiciones divergentes,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01</m:t>
        </m:r>
      </m:oMath>
      <w:r>
        <w:t xml:space="preserve">, tamaño de muestra efectivo mínimo superior a 1.400) y las</w:t>
      </w:r>
      <w:r>
        <w:t xml:space="preserve"> </w:t>
      </w:r>
      <w:r>
        <w:t xml:space="preserve">verificaciones predictivas posteriores reproducen la distribución observada de</w:t>
      </w:r>
      <w:r>
        <w:t xml:space="preserve"> </w:t>
      </w:r>
      <w:r>
        <w:t xml:space="preserve">puntajes. El desvío estándar grupal de los efectos de tratamiento resultó</w:t>
      </w:r>
      <w:r>
        <w:t xml:space="preserve"> </w:t>
      </w:r>
      <m:oMath>
        <m:sSub>
          <m:e>
            <m:r>
              <m:t>σ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11</m:t>
        </m:r>
      </m:oMath>
      <w:r>
        <w:t xml:space="preserve"> </w:t>
      </w:r>
      <w:r>
        <w:t xml:space="preserve">(intervalo de credibilidad del 94%: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06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]</m:t>
        </m:r>
      </m:oMath>
      <w:r>
        <w:t xml:space="preserve">):</w:t>
      </w:r>
      <w:r>
        <w:t xml:space="preserve"> </w:t>
      </w:r>
      <w:r>
        <w:t xml:space="preserve">la heterogeneidad existe y es grande. Los efectos individuales, en escala de</w:t>
      </w:r>
      <w:r>
        <w:t xml:space="preserve"> </w:t>
      </w:r>
      <w:r>
        <w:rPr>
          <w:i/>
          <w:iCs/>
        </w:rPr>
        <w:t xml:space="preserve">log-odds</w:t>
      </w:r>
      <w:r>
        <w:t xml:space="preserve">, van de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36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+</m:t>
        </m:r>
        <m:r>
          <m:t>5</m:t>
        </m:r>
        <m:r>
          <m:rPr>
            <m:sty m:val="p"/>
          </m:rPr>
          <m:t>,</m:t>
        </m:r>
        <m:r>
          <m:t>44</m:t>
        </m:r>
      </m:oMath>
      <w:r>
        <w:t xml:space="preserve"> </w:t>
      </w:r>
      <w:r>
        <w:t xml:space="preserve">(Figura </w:t>
      </w:r>
      <w:hyperlink w:anchor="fig:forest">
        <w:r>
          <w:rPr>
            <w:rStyle w:val="Hyperlink"/>
          </w:rPr>
          <w:t xml:space="preserve">1</w:t>
        </w:r>
      </w:hyperlink>
      <w:r>
        <w:t xml:space="preserve">). El</w:t>
      </w:r>
      <w:r>
        <w:t xml:space="preserve"> </w:t>
      </w:r>
      <w:r>
        <w:t xml:space="preserve">posterior separa las doce decisiones en tres grupos (Tabla </w:t>
      </w:r>
      <w:hyperlink w:anchor="tab:res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25" w:name="fig:forest"/>
    <w:p>
      <w:pPr>
        <w:pStyle w:val="CaptionedFigure"/>
      </w:pPr>
      <w:r>
        <w:drawing>
          <wp:inline>
            <wp:extent cx="2133600" cy="159076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reatment_effects_fores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9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Efectos de tratamiento por decisión (</w:t>
      </w:r>
      <m:oMath>
        <m:sSub>
          <m:e>
            <m:r>
              <m:t>β</m:t>
            </m:r>
          </m:e>
          <m:sub>
            <m:r>
              <m:t>d</m:t>
            </m:r>
          </m:sub>
        </m:sSub>
      </m:oMath>
      <w:r>
        <w:t xml:space="preserve">) con intervalo de</w:t>
      </w:r>
      <w:r>
        <w:t xml:space="preserve"> </w:t>
      </w:r>
      <w:r>
        <w:t xml:space="preserve">credibilidad del 94%. Barras oscuras: el intervalo excluye el cero; rayada:</w:t>
      </w:r>
      <w:r>
        <w:t xml:space="preserve"> </w:t>
      </w:r>
      <w:r>
        <w:t xml:space="preserve">efecto negativo; claras: no concluyentes.</w:t>
      </w:r>
    </w:p>
    <w:bookmarkEnd w:id="25"/>
    <w:p>
      <w:pPr>
        <w:pStyle w:val="BodyText"/>
      </w:pPr>
      <w:r>
        <w:rPr>
          <w:i/>
          <w:iCs/>
        </w:rPr>
        <w:t xml:space="preserve">Instrucciones que se benefician del refuerzo.</w:t>
      </w:r>
      <w:r>
        <w:t xml:space="preserve"> </w:t>
      </w:r>
      <w:r>
        <w:t xml:space="preserve">Tres decisiones tienen un</w:t>
      </w:r>
      <w:r>
        <w:t xml:space="preserve"> </w:t>
      </w:r>
      <w:r>
        <w:t xml:space="preserve">efecto cuyo intervalo del 94% queda por completo sobre cero.</w:t>
      </w:r>
      <w:r>
        <w:t xml:space="preserve"> </w:t>
      </w:r>
      <w:r>
        <w:rPr>
          <w:rStyle w:val="VerbatimChar"/>
        </w:rPr>
        <w:t xml:space="preserve">testing_parametrize</w:t>
      </w:r>
      <w:r>
        <w:t xml:space="preserve"> </w:t>
      </w:r>
      <w:r>
        <w:t xml:space="preserve">es la más fuerte (</w:t>
      </w:r>
      <m:oMath>
        <m:r>
          <m:t>β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44</m:t>
        </m:r>
      </m:oMath>
      <w:r>
        <w:t xml:space="preserve">): los modelos casi</w:t>
      </w:r>
      <w:r>
        <w:t xml:space="preserve"> </w:t>
      </w:r>
      <w:r>
        <w:t xml:space="preserve">nunca usan</w:t>
      </w:r>
      <w:r>
        <w:t xml:space="preserve"> </w:t>
      </w:r>
      <w:r>
        <w:rPr>
          <w:rStyle w:val="VerbatimChar"/>
        </w:rPr>
        <w:t xml:space="preserve">parametrize</w:t>
      </w:r>
      <w:r>
        <w:t xml:space="preserve"> </w:t>
      </w:r>
      <w:r>
        <w:t xml:space="preserve">por su cuenta (media</w:t>
      </w:r>
      <w:r>
        <w:t xml:space="preserve"> </w:t>
      </w:r>
      <w:r>
        <w:rPr>
          <w:i/>
          <w:iCs/>
        </w:rPr>
        <w:t xml:space="preserve">baseline</w:t>
      </w:r>
      <w:r>
        <w:t xml:space="preserve">: 0,00), pero</w:t>
      </w:r>
      <w:r>
        <w:t xml:space="preserve"> </w:t>
      </w:r>
      <w:r>
        <w:t xml:space="preserve">retienen la preferencia cuando se la enuncian (media tratamiento: 2,79).</w:t>
      </w:r>
      <w:r>
        <w:t xml:space="preserve"> </w:t>
      </w:r>
      <w:r>
        <w:rPr>
          <w:rStyle w:val="VerbatimChar"/>
        </w:rPr>
        <w:t xml:space="preserve">module_constants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76</m:t>
        </m:r>
      </m:oMath>
      <w:r>
        <w:t xml:space="preserve">) y</w:t>
      </w:r>
      <w:r>
        <w:t xml:space="preserve"> </w:t>
      </w:r>
      <w:r>
        <w:rPr>
          <w:rStyle w:val="VerbatimChar"/>
        </w:rPr>
        <w:t xml:space="preserve">architecture_standalone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38</m:t>
        </m:r>
      </m:oMath>
      <w:r>
        <w:t xml:space="preserve">) siguen el mismo patrón: línea de base cercana a cero, retención</w:t>
      </w:r>
      <w:r>
        <w:t xml:space="preserve"> </w:t>
      </w:r>
      <w:r>
        <w:t xml:space="preserve">apreciable al pedirlo.</w:t>
      </w:r>
    </w:p>
    <w:p>
      <w:pPr>
        <w:pStyle w:val="BodyText"/>
      </w:pPr>
      <w:r>
        <w:rPr>
          <w:i/>
          <w:iCs/>
        </w:rPr>
        <w:t xml:space="preserve">Una instrucción que empeora con el refuerzo.</w:t>
      </w:r>
      <w:r>
        <w:t xml:space="preserve"> </w:t>
      </w:r>
      <w:r>
        <w:rPr>
          <w:rStyle w:val="VerbatimChar"/>
        </w:rPr>
        <w:t xml:space="preserve">dependencies_no_new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36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) es la única decisión donde enunciar la</w:t>
      </w:r>
      <w:r>
        <w:t xml:space="preserve"> </w:t>
      </w:r>
      <w:r>
        <w:t xml:space="preserve">regla</w:t>
      </w:r>
      <w:r>
        <w:t xml:space="preserve"> </w:t>
      </w:r>
      <w:r>
        <w:rPr>
          <w:i/>
          <w:iCs/>
        </w:rPr>
        <w:t xml:space="preserve">reduce</w:t>
      </w:r>
      <w:r>
        <w:t xml:space="preserve"> </w:t>
      </w:r>
      <w:r>
        <w:t xml:space="preserve">el cumplimiento: la media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es 2,25 (los modelos</w:t>
      </w:r>
      <w:r>
        <w:t xml:space="preserve"> </w:t>
      </w:r>
      <w:r>
        <w:t xml:space="preserve">ya evitan agregar imports), pero pedir</w:t>
      </w:r>
      <w:r>
        <w:t xml:space="preserve"> </w:t>
      </w:r>
      <w:r>
        <w:t xml:space="preserve">“no agregues imports nuevos”</w:t>
      </w:r>
      <w:r>
        <w:t xml:space="preserve"> </w:t>
      </w:r>
      <w:r>
        <w:t xml:space="preserve">la baja a</w:t>
      </w:r>
      <w:r>
        <w:t xml:space="preserve"> </w:t>
      </w:r>
      <w:r>
        <w:t xml:space="preserve">0,77. Es, además, la única instrucción formulada como negación, y eso hace pensar</w:t>
      </w:r>
      <w:r>
        <w:t xml:space="preserve"> </w:t>
      </w:r>
      <w:r>
        <w:t xml:space="preserve">que el problema está en el marco (la negación) y no en el contenido.</w:t>
      </w:r>
    </w:p>
    <w:p>
      <w:pPr>
        <w:pStyle w:val="BodyText"/>
      </w:pPr>
      <w:r>
        <w:rPr>
          <w:i/>
          <w:iCs/>
        </w:rPr>
        <w:t xml:space="preserve">Instrucciones que no requieren intervención.</w:t>
      </w:r>
      <w:r>
        <w:t xml:space="preserve"> </w:t>
      </w:r>
      <w:r>
        <w:t xml:space="preserve">Las ocho restantes tienen</w:t>
      </w:r>
      <w:r>
        <w:t xml:space="preserve"> </w:t>
      </w:r>
      <w:r>
        <w:t xml:space="preserve">intervalos que cruzan el cero; varias ya parten de un cumplimiento alto</w:t>
      </w:r>
      <w:r>
        <w:t xml:space="preserve"> </w:t>
      </w:r>
      <w:r>
        <w:t xml:space="preserve">(</w:t>
      </w:r>
      <w:r>
        <w:rPr>
          <w:rStyle w:val="VerbatimChar"/>
        </w:rPr>
        <w:t xml:space="preserve">broadcasting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numpy_style</w:t>
      </w:r>
      <w:r>
        <w:t xml:space="preserve">: 3,00), y reforzarlas malgasta tokens.</w:t>
      </w:r>
    </w:p>
    <w:p>
      <w:pPr>
        <w:pStyle w:val="BodyText"/>
      </w:pPr>
      <w:r>
        <w:t xml:space="preserve">Por último, el modelo no detectó varianza apreciable atribuible a la arquitectura</w:t>
      </w:r>
      <w:r>
        <w:t xml:space="preserve"> </w:t>
      </w:r>
      <w:r>
        <w:t xml:space="preserve">ni al tamaño del codebase (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modelo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;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codebase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, con intervalos que cruzan el cero); en el</w:t>
      </w:r>
      <w:r>
        <w:t xml:space="preserve"> </w:t>
      </w:r>
      <w:r>
        <w:t xml:space="preserve">modelo completo, 267 transiciones divergentes llevaron a quitar esos efectos, de</w:t>
      </w:r>
      <w:r>
        <w:t xml:space="preserve"> </w:t>
      </w:r>
      <w:r>
        <w:t xml:space="preserve">modo que esta comparación es indicativa y no concluyente, más aún porque la</w:t>
      </w:r>
      <w:r>
        <w:t xml:space="preserve"> </w:t>
      </w:r>
      <w:r>
        <w:t xml:space="preserve">condición baseline se corrió en un solo modelo. Con esa salvedad, los datos son</w:t>
      </w:r>
      <w:r>
        <w:t xml:space="preserve"> </w:t>
      </w:r>
      <w:r>
        <w:t xml:space="preserve">consistentes con que lo que determina la retención es la instrucción misma. El</w:t>
      </w:r>
      <w:r>
        <w:t xml:space="preserve"> </w:t>
      </w:r>
      <w:r>
        <w:t xml:space="preserve">patrón se sostiene al restringir el análisis a Qwen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), con una</w:t>
      </w:r>
      <w:r>
        <w:t xml:space="preserve"> </w:t>
      </w:r>
      <w:r>
        <w:t xml:space="preserve">excepción:</w:t>
      </w:r>
      <w:r>
        <w:t xml:space="preserve"> </w:t>
      </w:r>
      <w:r>
        <w:rPr>
          <w:rStyle w:val="VerbatimChar"/>
        </w:rPr>
        <w:t xml:space="preserve">architecture_standalone</w:t>
      </w:r>
      <w:r>
        <w:t xml:space="preserve"> </w:t>
      </w:r>
      <w:r>
        <w:t xml:space="preserve">no replica en ese subconjunto</w:t>
      </w:r>
      <w:r>
        <w:t xml:space="preserve"> </w:t>
      </w:r>
      <w:r>
        <w:t xml:space="preserve">(</w:t>
      </w:r>
      <m:oMath>
        <m:r>
          <m:t>β</m:t>
        </m:r>
      </m:oMath>
      <w:r>
        <w:t xml:space="preserve"> </w:t>
      </w:r>
      <w:r>
        <w:t xml:space="preserve">pasa de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38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71</m:t>
        </m:r>
      </m:oMath>
      <w:r>
        <w:t xml:space="preserve">), de modo que las decisiones claramente</w:t>
      </w:r>
      <w:r>
        <w:t xml:space="preserve"> </w:t>
      </w:r>
      <w:r>
        <w:t xml:space="preserve">beneficiosas se reducen de tres a dos.</w:t>
      </w:r>
    </w:p>
    <w:bookmarkStart w:id="26" w:name="tab:res"/>
    <w:p>
      <w:pPr>
        <w:pStyle w:val="TableCaption"/>
      </w:pPr>
      <w:r>
        <w:t xml:space="preserve">Prioridades de refuerzo derivadas del posterior. La ganancia es el cambio</w:t>
      </w:r>
      <w:r>
        <w:t xml:space="preserve"> </w:t>
      </w:r>
      <w:r>
        <w:t xml:space="preserve">esperado 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puntaje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 reforzar.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oridades de refuerzo derivadas del posterior. La ganancia es el cambio esperado en P(\text{puntaje}\geq 2) al reforza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Ganancia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testing_parametrize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Reforzar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module_constants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Reforzar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architecture_standalone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Reforzar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naming_underscore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assert_almost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regex_comments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Incierto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decisiones restantes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Omitir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dependencies_no_new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Nunca reforzar</w:t>
            </w:r>
          </w:p>
        </w:tc>
      </w:tr>
    </w:tbl>
    <w:bookmarkEnd w:id="26"/>
    <w:bookmarkEnd w:id="27"/>
    <w:bookmarkStart w:id="28" w:name="el-sistema-que-esto-habilita"/>
    <w:p>
      <w:pPr>
        <w:pStyle w:val="Heading2"/>
      </w:pPr>
      <w:r>
        <w:t xml:space="preserve">El sistema que esto habilita</w:t>
      </w:r>
    </w:p>
    <w:p>
      <w:pPr>
        <w:pStyle w:val="FirstParagraph"/>
      </w:pPr>
      <w:r>
        <w:t xml:space="preserve">La medición es el prerrequisito de un sistema de refuerzo selectivo basado en</w:t>
      </w:r>
      <w:r>
        <w:t xml:space="preserve"> </w:t>
      </w:r>
      <w:r>
        <w:t xml:space="preserve">Bayesian Knowledge Tracing. En el harness ya está prototipado un</w:t>
      </w:r>
      <w:r>
        <w:t xml:space="preserve"> </w:t>
      </w:r>
      <w:r>
        <w:rPr>
          <w:i/>
          <w:iCs/>
        </w:rPr>
        <w:t xml:space="preserve">tracker</w:t>
      </w:r>
      <w:r>
        <w:t xml:space="preserve"> </w:t>
      </w:r>
      <w:r>
        <w:t xml:space="preserve">bayesiano que mantiene una creencia gaussiana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sobre el</w:t>
      </w:r>
      <w:r>
        <w:t xml:space="preserve"> </w:t>
      </w:r>
      <w:r>
        <w:t xml:space="preserve">cumplimiento latente de cada instrucción, la actualiza con cada observación</w:t>
      </w:r>
      <w:r>
        <w:t xml:space="preserve"> </w:t>
      </w:r>
      <w:r>
        <w:t xml:space="preserve">(aproximación de Laplace sobre un</w:t>
      </w:r>
      <w:r>
        <w:t xml:space="preserve"> </w:t>
      </w:r>
      <w:r>
        <w:rPr>
          <w:i/>
          <w:iCs/>
        </w:rPr>
        <w:t xml:space="preserve">Graded Response Model</w:t>
      </w:r>
      <w:r>
        <w:t xml:space="preserve">) y la hace decaer</w:t>
      </w:r>
      <w:r>
        <w:t xml:space="preserve"> </w:t>
      </w:r>
      <w:r>
        <w:t xml:space="preserve">entre turnos (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t xml:space="preserve">). Sobre esa creencia, una política puede reforzar</w:t>
      </w:r>
      <w:r>
        <w:t xml:space="preserve"> </w:t>
      </w:r>
      <w:r>
        <w:rPr>
          <w:i/>
          <w:iCs/>
        </w:rPr>
        <w:t xml:space="preserve">selectivamente</w:t>
      </w:r>
      <w:r>
        <w:t xml:space="preserve"> </w:t>
      </w:r>
      <w:r>
        <w:t xml:space="preserve">solo las instrucciones con menor probabilidad de</w:t>
      </w:r>
      <w:r>
        <w:t xml:space="preserve"> </w:t>
      </w:r>
      <w:r>
        <w:t xml:space="preserve">cumplimiento, hasta un presupuesto fijo de tokens:</w:t>
      </w:r>
      <w:r>
        <w:t xml:space="preserve"> </w:t>
      </w:r>
      <w:r>
        <w:rPr>
          <w:rStyle w:val="VerbatimChar"/>
        </w:rPr>
        <w:t xml:space="preserve">parametrize</w:t>
      </w:r>
      <w:r>
        <w:t xml:space="preserve"> </w:t>
      </w:r>
      <w:r>
        <w:t xml:space="preserve">recibe</w:t>
      </w:r>
      <w:r>
        <w:t xml:space="preserve"> </w:t>
      </w:r>
      <w:r>
        <w:t xml:space="preserve">refuerzo,</w:t>
      </w:r>
      <w:r>
        <w:t xml:space="preserve"> </w:t>
      </w:r>
      <w:r>
        <w:rPr>
          <w:rStyle w:val="VerbatimChar"/>
        </w:rPr>
        <w:t xml:space="preserve">no_new_imports</w:t>
      </w:r>
      <w:r>
        <w:t xml:space="preserve"> </w:t>
      </w:r>
      <w:r>
        <w:t xml:space="preserve">queda excluida, y las que ya se cumplen no</w:t>
      </w:r>
      <w:r>
        <w:t xml:space="preserve"> </w:t>
      </w:r>
      <w:r>
        <w:t xml:space="preserve">gastan presupuesto. La Tabla </w:t>
      </w:r>
      <w:hyperlink w:anchor="tab:r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es, en esencia, esa regla de asignación.</w:t>
      </w:r>
    </w:p>
    <w:bookmarkEnd w:id="28"/>
    <w:bookmarkEnd w:id="29"/>
    <w:bookmarkStart w:id="47" w:name="conclusiones"/>
    <w:p>
      <w:pPr>
        <w:pStyle w:val="Heading1"/>
      </w:pPr>
      <w:r>
        <w:t xml:space="preserve">Conclusiones</w:t>
      </w:r>
    </w:p>
    <w:p>
      <w:pPr>
        <w:pStyle w:val="FirstParagraph"/>
      </w:pPr>
      <w:r>
        <w:t xml:space="preserve">Este trabajo midió la retención de instrucciones por tipo en asistentes de</w:t>
      </w:r>
      <w:r>
        <w:t xml:space="preserve"> </w:t>
      </w:r>
      <w:r>
        <w:t xml:space="preserve">programación basados en LLMs y encontró que es marcadamente heterogénea: los</w:t>
      </w:r>
      <w:r>
        <w:t xml:space="preserve"> </w:t>
      </w:r>
      <w:r>
        <w:t xml:space="preserve">efectos del tratamiento varían en más de un orden de magnitud. Algunas preferencias</w:t>
      </w:r>
      <w:r>
        <w:t xml:space="preserve"> </w:t>
      </w:r>
      <w:r>
        <w:t xml:space="preserve">se retienen apenas se las enuncia. La mayoría ya se cumplen por defecto, así que</w:t>
      </w:r>
      <w:r>
        <w:t xml:space="preserve"> </w:t>
      </w:r>
      <w:r>
        <w:t xml:space="preserve">reforzarlas solo desperdicia tokens. Y hay una que empeora cuando se la refuerza:</w:t>
      </w:r>
      <w:r>
        <w:t xml:space="preserve"> </w:t>
      </w:r>
      <w:r>
        <w:t xml:space="preserve">la única formulada como negación. No se detectó varianza apreciable atribuible al</w:t>
      </w:r>
      <w:r>
        <w:t xml:space="preserve"> </w:t>
      </w:r>
      <w:r>
        <w:t xml:space="preserve">modelo ni al nivel de presión de contexto, aunque el diseño limita esa comparación:</w:t>
      </w:r>
      <w:r>
        <w:t xml:space="preserve"> </w:t>
      </w:r>
      <w:r>
        <w:t xml:space="preserve">los datos apuntan a que lo que decide si una instrucción se retiene es la</w:t>
      </w:r>
      <w:r>
        <w:t xml:space="preserve"> </w:t>
      </w:r>
      <w:r>
        <w:t xml:space="preserve">instrucción misma.</w:t>
      </w:r>
    </w:p>
    <w:p>
      <w:pPr>
        <w:pStyle w:val="BodyText"/>
      </w:pPr>
      <w:r>
        <w:t xml:space="preserve">La literatura mide el olvido en agregado y nunca por instrucción; ese es el dato</w:t>
      </w:r>
      <w:r>
        <w:t xml:space="preserve"> </w:t>
      </w:r>
      <w:r>
        <w:t xml:space="preserve">que faltaba y que acá medí. La implicancia práctica es directa: el refuerzo</w:t>
      </w:r>
      <w:r>
        <w:t xml:space="preserve"> </w:t>
      </w:r>
      <w:r>
        <w:t xml:space="preserve">uniforme malgasta la mayor parte de su presupuesto y puede ser contraproducente,</w:t>
      </w:r>
      <w:r>
        <w:t xml:space="preserve"> </w:t>
      </w:r>
      <w:r>
        <w:t xml:space="preserve">mientras que una política derivada de la medición indica cuáles conviene reforzar y</w:t>
      </w:r>
      <w:r>
        <w:t xml:space="preserve"> </w:t>
      </w:r>
      <w:r>
        <w:t xml:space="preserve">cuáles dejar sin intervención, incluida la que no hay que reforzar nunca. Las</w:t>
      </w:r>
      <w:r>
        <w:t xml:space="preserve"> </w:t>
      </w:r>
      <w:r>
        <w:t xml:space="preserve">probabilidades de retención estimadas son el insumo que un sistema de Bayesian</w:t>
      </w:r>
      <w:r>
        <w:t xml:space="preserve"> </w:t>
      </w:r>
      <w:r>
        <w:t xml:space="preserve">Knowledge Tracing necesitaría para funcionar.</w:t>
      </w:r>
    </w:p>
    <w:p>
      <w:pPr>
        <w:pStyle w:val="BodyText"/>
      </w:pPr>
      <w:r>
        <w:t xml:space="preserve">Los comentarios de los revisores de ASAID orientan las siguientes líneas. La más</w:t>
      </w:r>
      <w:r>
        <w:t xml:space="preserve"> </w:t>
      </w:r>
      <w:r>
        <w:t xml:space="preserve">inmediata es ampliar y blindar la medición: correr la condición baseline en todos</w:t>
      </w:r>
      <w:r>
        <w:t xml:space="preserve"> </w:t>
      </w:r>
      <w:r>
        <w:t xml:space="preserve">los modelos (acá quedó atada a uno) y sumar réplicas, y complementar los</w:t>
      </w:r>
      <w:r>
        <w:t xml:space="preserve"> </w:t>
      </w:r>
      <w:r>
        <w:t xml:space="preserve">verificadores determinísticos con un panel de jueces LLM de otras familias, ciegos</w:t>
      </w:r>
      <w:r>
        <w:t xml:space="preserve"> </w:t>
      </w:r>
      <w:r>
        <w:t xml:space="preserve">a la condición, para separar el sesgo de medición del efecto real. Una segunda</w:t>
      </w:r>
      <w:r>
        <w:t xml:space="preserve"> </w:t>
      </w:r>
      <w:r>
        <w:t xml:space="preserve">línea, sugerida en la revisión, afila la negación: reformular como negación las</w:t>
      </w:r>
      <w:r>
        <w:t xml:space="preserve"> </w:t>
      </w:r>
      <w:r>
        <w:t xml:space="preserve">instrucciones que sí se benefician aislaría si pesa el marco o el contenido.</w:t>
      </w:r>
      <w:r>
        <w:t xml:space="preserve"> </w:t>
      </w:r>
      <w:r>
        <w:t xml:space="preserve">Quedan, además, la medición temporal densa para estimar</w:t>
      </w:r>
      <w:r>
        <w:t xml:space="preserve"> </w:t>
      </w:r>
      <m:oMath>
        <m:r>
          <m:t>γ</m:t>
        </m:r>
      </m:oMath>
      <w:r>
        <w:t xml:space="preserve">, la evaluación en</w:t>
      </w:r>
      <w:r>
        <w:t xml:space="preserve"> </w:t>
      </w:r>
      <w:r>
        <w:t xml:space="preserve">lazo cerrado frente al refuerzo uniforme, y la validación sobre conversaciones</w:t>
      </w:r>
      <w:r>
        <w:t xml:space="preserve"> </w:t>
      </w:r>
      <w:r>
        <w:t xml:space="preserve">reales en lugar del banco simulado.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Abril-Pla, O., Andreani, V., Carroll, C., Dong, L., Fonnesbeck, C. J., Kochurov, M., … Zinkov, R. (2023). PyMC: A modern, and comprehensive probabilistic programming framework in Python.</w:t>
      </w:r>
      <w:r>
        <w:t xml:space="preserve"> </w:t>
      </w:r>
      <w:r>
        <w:rPr>
          <w:i/>
          <w:iCs/>
        </w:rPr>
        <w:t xml:space="preserve">PeerJ Computer Science, 9</w:t>
      </w:r>
      <w:r>
        <w:t xml:space="preserve">, e1516.</w:t>
      </w:r>
      <w:r>
        <w:t xml:space="preserve"> </w:t>
      </w:r>
      <w:hyperlink r:id="rId30">
        <w:r>
          <w:rPr>
            <w:rStyle w:val="Hyperlink"/>
          </w:rPr>
          <w:t xml:space="preserve">https://doi.org/10.7717/peerj-cs.1516</w:t>
        </w:r>
      </w:hyperlink>
    </w:p>
    <w:p>
      <w:pPr>
        <w:pStyle w:val="BodyText"/>
      </w:pPr>
      <w:r>
        <w:t xml:space="preserve">Anil, C., Durmus, E., Sharma, M., Benton, J., Kundu, S., Batson, J., … Duvenaud, D. (2024). Many-shot jailbreaking.</w:t>
      </w:r>
      <w:r>
        <w:t xml:space="preserve"> </w:t>
      </w:r>
      <w:r>
        <w:rPr>
          <w:i/>
          <w:iCs/>
        </w:rPr>
        <w:t xml:space="preserve">Advances in Neural Information Processing Systems, 37</w:t>
      </w:r>
      <w:r>
        <w:t xml:space="preserve">.</w:t>
      </w:r>
    </w:p>
    <w:p>
      <w:pPr>
        <w:pStyle w:val="BodyText"/>
      </w:pPr>
      <w:r>
        <w:t xml:space="preserve">Capretto, T., Piho, C., Kumar, R., Westfall, J., Yarkoni, T., &amp; Martin, O. A. (2022). Bambi: A simple interface for fitting Bayesian linear models in Python.</w:t>
      </w:r>
      <w:r>
        <w:t xml:space="preserve"> </w:t>
      </w:r>
      <w:r>
        <w:rPr>
          <w:i/>
          <w:iCs/>
        </w:rPr>
        <w:t xml:space="preserve">Journal of Statistical Software, 103</w:t>
      </w:r>
      <w:r>
        <w:t xml:space="preserve">(15), 1–29.</w:t>
      </w:r>
      <w:r>
        <w:t xml:space="preserve"> </w:t>
      </w:r>
      <w:hyperlink r:id="rId31">
        <w:r>
          <w:rPr>
            <w:rStyle w:val="Hyperlink"/>
          </w:rPr>
          <w:t xml:space="preserve">https://doi.org/10.18637/jss.v103.i15</w:t>
        </w:r>
      </w:hyperlink>
    </w:p>
    <w:p>
      <w:pPr>
        <w:pStyle w:val="BodyText"/>
      </w:pPr>
      <w:r>
        <w:t xml:space="preserve">Corbett, A. T., &amp; Anderson, J. R. (1994). Knowledge tracing: Modeling the acquisition of procedural knowledge.</w:t>
      </w:r>
      <w:r>
        <w:t xml:space="preserve"> </w:t>
      </w:r>
      <w:r>
        <w:rPr>
          <w:i/>
          <w:iCs/>
        </w:rPr>
        <w:t xml:space="preserve">User Modeling and User-Adapted Interaction, 4</w:t>
      </w:r>
      <w:r>
        <w:t xml:space="preserve">(4), 253–278.</w:t>
      </w:r>
      <w:r>
        <w:t xml:space="preserve"> </w:t>
      </w:r>
      <w:hyperlink r:id="rId32">
        <w:r>
          <w:rPr>
            <w:rStyle w:val="Hyperlink"/>
          </w:rPr>
          <w:t xml:space="preserve">https://doi.org/10.1007/BF01099821</w:t>
        </w:r>
      </w:hyperlink>
    </w:p>
    <w:p>
      <w:pPr>
        <w:pStyle w:val="BodyText"/>
      </w:pPr>
      <w:r>
        <w:t xml:space="preserve">Dongre, V., Rossi, R. A., Lai, V. D., Yoon, D. S., Hakkani-Tür, D., &amp; Bui, T. (2025).</w:t>
      </w:r>
      <w:r>
        <w:t xml:space="preserve"> </w:t>
      </w:r>
      <w:r>
        <w:rPr>
          <w:i/>
          <w:iCs/>
        </w:rPr>
        <w:t xml:space="preserve">Drift no more? Context equilibria in multi-turn LLM interactions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arXiv:2510.07777</w:t>
        </w:r>
      </w:hyperlink>
      <w:r>
        <w:t xml:space="preserve">). arXiv.</w:t>
      </w:r>
    </w:p>
    <w:p>
      <w:pPr>
        <w:pStyle w:val="BodyText"/>
      </w:pPr>
      <w:r>
        <w:t xml:space="preserve">Du, Y., Tian, M., Ronanki, S., Rongali, S., Bodapati, S. B., Galstyan, A., … Peng, H. (2025). Context length alone hurts LLM performance despite perfect retrieval. En</w:t>
      </w:r>
      <w:r>
        <w:t xml:space="preserve"> </w:t>
      </w:r>
      <w:r>
        <w:rPr>
          <w:i/>
          <w:iCs/>
        </w:rPr>
        <w:t xml:space="preserve">Findings of the ACL: EMNLP 2025</w:t>
      </w:r>
      <w:r>
        <w:t xml:space="preserve"> </w:t>
      </w:r>
      <w:r>
        <w:t xml:space="preserve">(pp. 23281–23298).</w:t>
      </w:r>
    </w:p>
    <w:p>
      <w:pPr>
        <w:pStyle w:val="BodyText"/>
      </w:pPr>
      <w:r>
        <w:t xml:space="preserve">He, Y., Jin, D., Wang, C., Bi, C., Mandyam, K., Zhang, H., … Wang, S. (2024).</w:t>
      </w:r>
      <w:r>
        <w:t xml:space="preserve"> </w:t>
      </w:r>
      <w:r>
        <w:rPr>
          <w:i/>
          <w:iCs/>
        </w:rPr>
        <w:t xml:space="preserve">Multi-IF: Benchmarking LLMs on multi-turn and multilingual instructions following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arXiv:2410.15553</w:t>
        </w:r>
      </w:hyperlink>
      <w:r>
        <w:t xml:space="preserve">). arXiv.</w:t>
      </w:r>
    </w:p>
    <w:p>
      <w:pPr>
        <w:pStyle w:val="BodyText"/>
      </w:pPr>
      <w:r>
        <w:t xml:space="preserve">Hoffman, M. D., &amp; Gelman, A. (2014). The No-U-Turn sampler: Adaptively setting path lengths in Hamiltonian Monte Carlo.</w:t>
      </w:r>
      <w:r>
        <w:t xml:space="preserve"> </w:t>
      </w:r>
      <w:r>
        <w:rPr>
          <w:i/>
          <w:iCs/>
        </w:rPr>
        <w:t xml:space="preserve">Journal of Machine Learning Research, 15</w:t>
      </w:r>
      <w:r>
        <w:t xml:space="preserve">, 1593–1623.</w:t>
      </w:r>
      <w:r>
        <w:t xml:space="preserve"> </w:t>
      </w:r>
      <w:hyperlink r:id="rId35">
        <w:r>
          <w:rPr>
            <w:rStyle w:val="Hyperlink"/>
          </w:rPr>
          <w:t xml:space="preserve">https://jmlr.org/papers/v15/hoffman14a.html</w:t>
        </w:r>
      </w:hyperlink>
    </w:p>
    <w:p>
      <w:pPr>
        <w:pStyle w:val="BodyText"/>
      </w:pPr>
      <w:r>
        <w:t xml:space="preserve">Ip, J. (2025).</w:t>
      </w:r>
      <w:r>
        <w:t xml:space="preserve"> </w:t>
      </w:r>
      <w:r>
        <w:rPr>
          <w:i/>
          <w:iCs/>
        </w:rPr>
        <w:t xml:space="preserve">DeepEval: The LLM evaluation framework</w:t>
      </w:r>
      <w:r>
        <w:t xml:space="preserve"> </w:t>
      </w:r>
      <w:r>
        <w:t xml:space="preserve">[Software]. Confident AI.</w:t>
      </w:r>
      <w:r>
        <w:t xml:space="preserve"> </w:t>
      </w:r>
      <w:hyperlink r:id="rId36">
        <w:r>
          <w:rPr>
            <w:rStyle w:val="Hyperlink"/>
          </w:rPr>
          <w:t xml:space="preserve">https://github.com/confident-ai/deepeval</w:t>
        </w:r>
      </w:hyperlink>
    </w:p>
    <w:p>
      <w:pPr>
        <w:pStyle w:val="BodyText"/>
      </w:pPr>
      <w:r>
        <w:t xml:space="preserve">Kumar, R., Carroll, C., Hartikainen, A., &amp; Martin, O. A. (2019). ArviZ: A unified library for exploratory analysis of Bayesian models in Python.</w:t>
      </w:r>
      <w:r>
        <w:t xml:space="preserve"> </w:t>
      </w:r>
      <w:r>
        <w:rPr>
          <w:i/>
          <w:iCs/>
        </w:rPr>
        <w:t xml:space="preserve">Journal of Open Source Software, 4</w:t>
      </w:r>
      <w:r>
        <w:t xml:space="preserve">(33), 1143.</w:t>
      </w:r>
      <w:r>
        <w:t xml:space="preserve"> </w:t>
      </w:r>
      <w:hyperlink r:id="rId37">
        <w:r>
          <w:rPr>
            <w:rStyle w:val="Hyperlink"/>
          </w:rPr>
          <w:t xml:space="preserve">https://doi.org/10.21105/joss.01143</w:t>
        </w:r>
      </w:hyperlink>
    </w:p>
    <w:p>
      <w:pPr>
        <w:pStyle w:val="BodyText"/>
      </w:pPr>
      <w:r>
        <w:t xml:space="preserve">Laban, P., Hayashi, H., Zhou, Y., &amp; Neville, J. (2025).</w:t>
      </w:r>
      <w:r>
        <w:t xml:space="preserve"> </w:t>
      </w:r>
      <w:r>
        <w:rPr>
          <w:i/>
          <w:iCs/>
        </w:rPr>
        <w:t xml:space="preserve">LLMs get lost in multi-turn conversation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arXiv:2505.06120</w:t>
        </w:r>
      </w:hyperlink>
      <w:r>
        <w:t xml:space="preserve">). arXiv.</w:t>
      </w:r>
    </w:p>
    <w:p>
      <w:pPr>
        <w:pStyle w:val="BodyText"/>
      </w:pPr>
      <w:r>
        <w:t xml:space="preserve">Leviathan, Y., Kalman, M., &amp; Matias, Y. (2025).</w:t>
      </w:r>
      <w:r>
        <w:t xml:space="preserve"> </w:t>
      </w:r>
      <w:r>
        <w:rPr>
          <w:i/>
          <w:iCs/>
        </w:rPr>
        <w:t xml:space="preserve">Prompt repetition improves non-reasoning LLMs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arXiv:2512.14982</w:t>
        </w:r>
      </w:hyperlink>
      <w:r>
        <w:t xml:space="preserve">). arXiv.</w:t>
      </w:r>
    </w:p>
    <w:p>
      <w:pPr>
        <w:pStyle w:val="BodyText"/>
      </w:pPr>
      <w:r>
        <w:t xml:space="preserve">Liu, N. F., Lin, K., Hewitt, J., Paranjape, A., Bevilacqua, M., Petroni, F., &amp; Liang, P. (2024). Lost in the middle: How language models use long contexts.</w:t>
      </w:r>
      <w:r>
        <w:t xml:space="preserve"> </w:t>
      </w:r>
      <w:r>
        <w:rPr>
          <w:i/>
          <w:iCs/>
        </w:rPr>
        <w:t xml:space="preserve">Transactions of the Association for Computational Linguistics, 12</w:t>
      </w:r>
      <w:r>
        <w:t xml:space="preserve">, 157–173.</w:t>
      </w:r>
      <w:r>
        <w:t xml:space="preserve"> </w:t>
      </w:r>
      <w:hyperlink r:id="rId40">
        <w:r>
          <w:rPr>
            <w:rStyle w:val="Hyperlink"/>
          </w:rPr>
          <w:t xml:space="preserve">https://doi.org/10.1162/tacl_a_00638</w:t>
        </w:r>
      </w:hyperlink>
    </w:p>
    <w:p>
      <w:pPr>
        <w:pStyle w:val="BodyText"/>
      </w:pPr>
      <w:r>
        <w:t xml:space="preserve">Mu, N., Lu, J., Lavery, M., &amp; Wagner, D. (2025).</w:t>
      </w:r>
      <w:r>
        <w:t xml:space="preserve"> </w:t>
      </w:r>
      <w:r>
        <w:rPr>
          <w:i/>
          <w:iCs/>
        </w:rPr>
        <w:t xml:space="preserve">A closer look at system prompt robustness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arXiv:2502.12197</w:t>
        </w:r>
      </w:hyperlink>
      <w:r>
        <w:t xml:space="preserve">). arXiv.</w:t>
      </w:r>
    </w:p>
    <w:p>
      <w:pPr>
        <w:pStyle w:val="BodyText"/>
      </w:pPr>
      <w:r>
        <w:t xml:space="preserve">Rivasseau, T. (2025).</w:t>
      </w:r>
      <w:r>
        <w:t xml:space="preserve"> </w:t>
      </w:r>
      <w:r>
        <w:rPr>
          <w:i/>
          <w:iCs/>
        </w:rPr>
        <w:t xml:space="preserve">LLM reinforcement in context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arXiv:2511.12782</w:t>
        </w:r>
      </w:hyperlink>
      <w:r>
        <w:t xml:space="preserve">). arXiv.</w:t>
      </w:r>
    </w:p>
    <w:p>
      <w:pPr>
        <w:pStyle w:val="BodyText"/>
      </w:pPr>
      <w:r>
        <w:t xml:space="preserve">Seyboldt, A. (2024).</w:t>
      </w:r>
      <w:r>
        <w:t xml:space="preserve"> </w:t>
      </w:r>
      <w:r>
        <w:rPr>
          <w:i/>
          <w:iCs/>
        </w:rPr>
        <w:t xml:space="preserve">nutpie: A fast sampler for Bayesian posteriors</w:t>
      </w:r>
      <w:r>
        <w:t xml:space="preserve"> </w:t>
      </w:r>
      <w:r>
        <w:t xml:space="preserve">[Software].</w:t>
      </w:r>
      <w:r>
        <w:t xml:space="preserve"> </w:t>
      </w:r>
      <w:hyperlink r:id="rId43">
        <w:r>
          <w:rPr>
            <w:rStyle w:val="Hyperlink"/>
          </w:rPr>
          <w:t xml:space="preserve">https://github.com/pymc-devs/nutpie</w:t>
        </w:r>
      </w:hyperlink>
    </w:p>
    <w:p>
      <w:pPr>
        <w:pStyle w:val="BodyText"/>
      </w:pPr>
      <w:r>
        <w:t xml:space="preserve">Wallace, E., Xiao, K., Leike, R., Weng, L., Heidecke, J., &amp; Beutel, A. (2024).</w:t>
      </w:r>
      <w:r>
        <w:t xml:space="preserve"> </w:t>
      </w:r>
      <w:r>
        <w:rPr>
          <w:i/>
          <w:iCs/>
        </w:rPr>
        <w:t xml:space="preserve">The instruction hierarchy: Training LLMs to prioritize privileged instructions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arXiv:2404.13208</w:t>
        </w:r>
      </w:hyperlink>
      <w:r>
        <w:t xml:space="preserve">). arXiv.</w:t>
      </w:r>
    </w:p>
    <w:p>
      <w:pPr>
        <w:pStyle w:val="BodyText"/>
      </w:pPr>
      <w:r>
        <w:t xml:space="preserve">Wu, Y., Hee, M. S., Hu, Z., &amp; Lee, R. K.-W. (2025).</w:t>
      </w:r>
      <w:r>
        <w:t xml:space="preserve"> </w:t>
      </w:r>
      <w:r>
        <w:rPr>
          <w:i/>
          <w:iCs/>
        </w:rPr>
        <w:t xml:space="preserve">LongGenBench: Benchmarking long-form generation in long context LLMs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arXiv:2409.02076</w:t>
        </w:r>
      </w:hyperlink>
      <w:r>
        <w:t xml:space="preserve">). ICLR 2025.</w:t>
      </w:r>
    </w:p>
    <w:p>
      <w:pPr>
        <w:pStyle w:val="BodyText"/>
      </w:pPr>
      <w:r>
        <w:t xml:space="preserve">Zhang, J., Yang, J., &amp; Wang, K. (2025).</w:t>
      </w:r>
      <w:r>
        <w:t xml:space="preserve"> </w:t>
      </w:r>
      <w:r>
        <w:rPr>
          <w:i/>
          <w:iCs/>
        </w:rPr>
        <w:t xml:space="preserve">Large language models as discounted Bayesian filters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arXiv:2512.18489</w:t>
        </w:r>
      </w:hyperlink>
      <w:r>
        <w:t xml:space="preserve">). arXiv.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Una versión de este trabajo fue aceptada en el simposio ASAID, 55.</w:t>
      </w:r>
      <w:r>
        <w:rPr>
          <w:vertAlign w:val="superscript"/>
        </w:rPr>
        <w:t xml:space="preserve">as</w:t>
      </w:r>
      <w:r>
        <w:t xml:space="preserve"> JAIIO (2026).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44" Target="https://arxiv.org/abs/2404.13208" TargetMode="External" /><Relationship Type="http://schemas.openxmlformats.org/officeDocument/2006/relationships/hyperlink" Id="rId45" Target="https://arxiv.org/abs/2409.02076" TargetMode="External" /><Relationship Type="http://schemas.openxmlformats.org/officeDocument/2006/relationships/hyperlink" Id="rId34" Target="https://arxiv.org/abs/2410.15553" TargetMode="External" /><Relationship Type="http://schemas.openxmlformats.org/officeDocument/2006/relationships/hyperlink" Id="rId41" Target="https://arxiv.org/abs/2502.12197" TargetMode="External" /><Relationship Type="http://schemas.openxmlformats.org/officeDocument/2006/relationships/hyperlink" Id="rId38" Target="https://arxiv.org/abs/2505.06120" TargetMode="External" /><Relationship Type="http://schemas.openxmlformats.org/officeDocument/2006/relationships/hyperlink" Id="rId33" Target="https://arxiv.org/abs/2510.07777" TargetMode="External" /><Relationship Type="http://schemas.openxmlformats.org/officeDocument/2006/relationships/hyperlink" Id="rId42" Target="https://arxiv.org/abs/2511.12782" TargetMode="External" /><Relationship Type="http://schemas.openxmlformats.org/officeDocument/2006/relationships/hyperlink" Id="rId39" Target="https://arxiv.org/abs/2512.14982" TargetMode="External" /><Relationship Type="http://schemas.openxmlformats.org/officeDocument/2006/relationships/hyperlink" Id="rId46" Target="https://arxiv.org/abs/2512.18489" TargetMode="External" /><Relationship Type="http://schemas.openxmlformats.org/officeDocument/2006/relationships/hyperlink" Id="rId32" Target="https://doi.org/10.1007/BF01099821" TargetMode="External" /><Relationship Type="http://schemas.openxmlformats.org/officeDocument/2006/relationships/hyperlink" Id="rId40" Target="https://doi.org/10.1162/tacl_a_00638" TargetMode="External" /><Relationship Type="http://schemas.openxmlformats.org/officeDocument/2006/relationships/hyperlink" Id="rId31" Target="https://doi.org/10.18637/jss.v103.i15" TargetMode="External" /><Relationship Type="http://schemas.openxmlformats.org/officeDocument/2006/relationships/hyperlink" Id="rId37" Target="https://doi.org/10.21105/joss.01143" TargetMode="External" /><Relationship Type="http://schemas.openxmlformats.org/officeDocument/2006/relationships/hyperlink" Id="rId30" Target="https://doi.org/10.7717/peerj-cs.1516" TargetMode="External" /><Relationship Type="http://schemas.openxmlformats.org/officeDocument/2006/relationships/hyperlink" Id="rId36" Target="https://github.com/confident-ai/deepeval" TargetMode="External" /><Relationship Type="http://schemas.openxmlformats.org/officeDocument/2006/relationships/hyperlink" Id="rId43" Target="https://github.com/pymc-devs/nutpie" TargetMode="External" /><Relationship Type="http://schemas.openxmlformats.org/officeDocument/2006/relationships/hyperlink" Id="rId35" Target="https://jmlr.org/papers/v15/hoffman14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arxiv.org/abs/2404.13208" TargetMode="External" /><Relationship Type="http://schemas.openxmlformats.org/officeDocument/2006/relationships/hyperlink" Id="rId45" Target="https://arxiv.org/abs/2409.02076" TargetMode="External" /><Relationship Type="http://schemas.openxmlformats.org/officeDocument/2006/relationships/hyperlink" Id="rId34" Target="https://arxiv.org/abs/2410.15553" TargetMode="External" /><Relationship Type="http://schemas.openxmlformats.org/officeDocument/2006/relationships/hyperlink" Id="rId41" Target="https://arxiv.org/abs/2502.12197" TargetMode="External" /><Relationship Type="http://schemas.openxmlformats.org/officeDocument/2006/relationships/hyperlink" Id="rId38" Target="https://arxiv.org/abs/2505.06120" TargetMode="External" /><Relationship Type="http://schemas.openxmlformats.org/officeDocument/2006/relationships/hyperlink" Id="rId33" Target="https://arxiv.org/abs/2510.07777" TargetMode="External" /><Relationship Type="http://schemas.openxmlformats.org/officeDocument/2006/relationships/hyperlink" Id="rId42" Target="https://arxiv.org/abs/2511.12782" TargetMode="External" /><Relationship Type="http://schemas.openxmlformats.org/officeDocument/2006/relationships/hyperlink" Id="rId39" Target="https://arxiv.org/abs/2512.14982" TargetMode="External" /><Relationship Type="http://schemas.openxmlformats.org/officeDocument/2006/relationships/hyperlink" Id="rId46" Target="https://arxiv.org/abs/2512.18489" TargetMode="External" /><Relationship Type="http://schemas.openxmlformats.org/officeDocument/2006/relationships/hyperlink" Id="rId32" Target="https://doi.org/10.1007/BF01099821" TargetMode="External" /><Relationship Type="http://schemas.openxmlformats.org/officeDocument/2006/relationships/hyperlink" Id="rId40" Target="https://doi.org/10.1162/tacl_a_00638" TargetMode="External" /><Relationship Type="http://schemas.openxmlformats.org/officeDocument/2006/relationships/hyperlink" Id="rId31" Target="https://doi.org/10.18637/jss.v103.i15" TargetMode="External" /><Relationship Type="http://schemas.openxmlformats.org/officeDocument/2006/relationships/hyperlink" Id="rId37" Target="https://doi.org/10.21105/joss.01143" TargetMode="External" /><Relationship Type="http://schemas.openxmlformats.org/officeDocument/2006/relationships/hyperlink" Id="rId30" Target="https://doi.org/10.7717/peerj-cs.1516" TargetMode="External" /><Relationship Type="http://schemas.openxmlformats.org/officeDocument/2006/relationships/hyperlink" Id="rId36" Target="https://github.com/confident-ai/deepeval" TargetMode="External" /><Relationship Type="http://schemas.openxmlformats.org/officeDocument/2006/relationships/hyperlink" Id="rId43" Target="https://github.com/pymc-devs/nutpie" TargetMode="External" /><Relationship Type="http://schemas.openxmlformats.org/officeDocument/2006/relationships/hyperlink" Id="rId35" Target="https://jmlr.org/papers/v15/hoffman14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todas las instrucciones se olvidan igual: medición de la retención por tipo de instrucción en asistentes de programación con LLMs</dc:title>
  <dc:creator>Tomás Pablo Korenblit</dc:creator>
  <cp:keywords/>
  <dcterms:created xsi:type="dcterms:W3CDTF">2026-06-05T02:56:20Z</dcterms:created>
  <dcterms:modified xsi:type="dcterms:W3CDTF">2026-06-05T02:56:20Z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Ciencia de Datos — 1.er cuatrimestre 2026</vt:lpwstr>
  </property>
</Properties>
</file>