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6"/>
          <w:szCs w:val="36"/>
        </w:rPr>
        <w:t xml:space="preserve">On Risk Letter Template Sample</w:t>
      </w:r>
    </w:p>
    <w:p/>
    <w:p>
      <w:pPr>
        <w:jc w:val="center"/>
      </w:pPr>
      <w:r>
        <w:rPr>
          <w:sz w:val="24"/>
          <w:szCs w:val="24"/>
        </w:rPr>
        <w:t xml:space="preserve">Documentation of Available Tokens</w:t>
      </w:r>
    </w:p>
    <w:p/>
    <w:p>
      <w:pPr>
        <w:jc w:val="center"/>
      </w:pPr>
      <w:r>
        <w:rPr>
          <w:sz w:val="20"/>
          <w:szCs w:val="20"/>
        </w:rPr>
        <w:t xml:space="preserve">Generated for Template Authors</w:t>
      </w:r>
    </w:p>
    <w:p>
      <w:pPr>
        <w:spacing w:before="200" w:after="100"/>
      </w:pPr>
      <w:r>
        <w:rPr>
          <w:b/>
          <w:sz w:val="32"/>
        </w:rPr>
        <w:t>How Tokens Work</w:t>
      </w:r>
    </w:p>
    <w:p>
      <w:r>
        <w:t xml:space="preserve">On Risk Letter templates use a template substitution engine to insert dynamic values. The following syntaxes are supported:</w:t>
      </w:r>
    </w:p>
    <w:p/>
    <w:p>
      <w:pPr>
        <w:spacing w:before="100" w:after="50"/>
      </w:pPr>
      <w:r>
        <w:rPr>
          <w:b/>
          <w:sz w:val="28"/>
        </w:rPr>
        <w:t>Simple Substitution</w:t>
      </w:r>
    </w:p>
    <w:p>
      <w:pPr>
        <w:pStyle w:val="ListBullet"/>
        <w:numPr>
          <w:ilvl w:val="0"/>
          <w:numId w:val="1"/>
        </w:numPr>
      </w:pPr>
      <w:r>
        <w:t>Syntax: </w:t>
      </w:r>
    </w:p>
    <w:p>
      <w:pPr>
        <w:pStyle w:val="ListBullet"/>
        <w:numPr>
          <w:ilvl w:val="0"/>
          <w:numId w:val="1"/>
        </w:numPr>
      </w:pPr>
      <w:r>
        <w:t>Example: The scheme name is Acme Pension Scheme</w:t>
      </w:r>
    </w:p>
    <w:p>
      <w:pPr>
        <w:pStyle w:val="ListBullet"/>
        <w:numPr>
          <w:ilvl w:val="0"/>
          <w:numId w:val="1"/>
        </w:numPr>
      </w:pPr>
      <w:r>
        <w:t>Result: The scheme name is Acme Pension Scheme</w:t>
      </w:r>
    </w:p>
    <w:p/>
    <w:p>
      <w:pPr>
        <w:spacing w:before="100" w:after="50"/>
      </w:pPr>
      <w:r>
        <w:rPr>
          <w:b/>
          <w:sz w:val="28"/>
        </w:rPr>
        <w:t>Conditional Blocks</w:t>
      </w:r>
    </w:p>
    <w:p>
      <w:pPr>
        <w:pStyle w:val="ListBullet"/>
        <w:numPr>
          <w:ilvl w:val="0"/>
          <w:numId w:val="1"/>
        </w:numPr>
      </w:pPr>
      <w:r>
        <w:t>Syntax: </w:t>
      </w:r>
    </w:p>
    <w:p>
      <w:pPr>
        <w:pStyle w:val="ListBullet"/>
        <w:numPr>
          <w:ilvl w:val="0"/>
          <w:numId w:val="1"/>
        </w:numPr>
      </w:pPr>
      <w:r>
        <w:t>Usage: Blocks are rendered only if the flag is true or non-empty</w:t>
      </w:r>
    </w:p>
    <w:p>
      <w:pPr>
        <w:pStyle w:val="ListBullet"/>
        <w:numPr>
          <w:ilvl w:val="0"/>
          <w:numId w:val="1"/>
        </w:numPr>
      </w:pPr>
      <w:r>
        <w:t>Example: Continuation options are available</w:t>
      </w:r>
    </w:p>
    <w:p/>
    <w:p>
      <w:pPr>
        <w:spacing w:before="100" w:after="50"/>
      </w:pPr>
      <w:r>
        <w:rPr>
          <w:b/>
          <w:sz w:val="28"/>
        </w:rPr>
        <w:t>Iteration</w:t>
      </w:r>
    </w:p>
    <w:p>
      <w:pPr>
        <w:pStyle w:val="ListBullet"/>
        <w:numPr>
          <w:ilvl w:val="0"/>
          <w:numId w:val="1"/>
        </w:numPr>
      </w:pPr>
      <w:r>
        <w:t>Syntax: </w:t>
      </w:r>
    </w:p>
    <w:p>
      <w:pPr>
        <w:pStyle w:val="ListBullet"/>
        <w:numPr>
          <w:ilvl w:val="0"/>
          <w:numId w:val="1"/>
        </w:numPr>
      </w:pPr>
      <w:r>
        <w:t>Usage: Repeats content for each item in an array</w:t>
      </w:r>
    </w:p>
    <w:p>
      <w:pPr>
        <w:pStyle w:val="ListBullet"/>
        <w:numPr>
          <w:ilvl w:val="0"/>
          <w:numId w:val="1"/>
        </w:numPr>
      </w:pPr>
      <w:r>
        <w:t>Example: — Group Life Assurance (GLA): 120 000.00— Permanent Total Disability (PTD): 80 000.00— Critical Illness (CI): 115 000.00</w:t>
      </w:r>
    </w:p>
    <w:p/>
    <w:p>
      <w:pPr>
        <w:spacing w:before="100" w:after="50"/>
      </w:pPr>
      <w:r>
        <w:rPr>
          <w:b/>
          <w:sz w:val="28"/>
        </w:rPr>
        <w:t>Nested Fields</w:t>
      </w:r>
    </w:p>
    <w:p>
      <w:pPr>
        <w:pStyle w:val="ListBullet"/>
        <w:numPr>
          <w:ilvl w:val="0"/>
          <w:numId w:val="1"/>
        </w:numPr>
      </w:pPr>
      <w:r>
        <w:t>Syntax: </w:t>
      </w:r>
    </w:p>
    <w:p>
      <w:pPr>
        <w:pStyle w:val="ListBullet"/>
        <w:numPr>
          <w:ilvl w:val="0"/>
          <w:numId w:val="1"/>
        </w:numPr>
      </w:pPr>
      <w:r>
        <w:t>Example: claims@xyz.com resolves to insurer email</w:t>
      </w:r>
    </w:p>
    <w:p/>
    <w:p>
      <w:pPr>
        <w:spacing w:before="200" w:after="100"/>
      </w:pPr>
      <w:r>
        <w:rPr>
          <w:b/>
          <w:sz w:val="32"/>
        </w:rPr>
        <w:t>Letter-Level Tokens</w:t>
      </w:r>
    </w:p>
    <w:p>
      <w:r>
        <w:t xml:space="preserve">These tokens relate to the on-risk letter record itself: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Token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</w:t>
            </w:r>
          </w:p>
        </w:tc>
      </w:tr>
      <w:tr>
        <w:tc>
          <w:p>
            <w:r>
              <w:t>ORL-7-12-1234</w:t>
            </w:r>
          </w:p>
        </w:tc>
        <w:tc>
          <w:p>
            <w:r>
              <w:t>Unique letter reference number</w:t>
            </w:r>
          </w:p>
        </w:tc>
        <w:tc>
          <w:p>
            <w:r>
              <w:t>ORL-7-12-1234</w:t>
            </w:r>
          </w:p>
        </w:tc>
      </w:tr>
      <w:tr>
        <w:tc>
          <w:p>
            <w:r>
              <w:t>14 Apr 2026</w:t>
            </w:r>
          </w:p>
        </w:tc>
        <w:tc>
          <w:p>
            <w:r>
              <w:t>Date the letter was generated</w:t>
            </w:r>
          </w:p>
        </w:tc>
        <w:tc>
          <w:p>
            <w:r>
              <w:t>14 Apr 2026</w:t>
            </w:r>
          </w:p>
        </w:tc>
      </w:tr>
      <w:tr>
        <w:tc>
          <w:p>
            <w:r>
              <w:t>Jome Akpoduado</w:t>
            </w:r>
          </w:p>
        </w:tc>
        <w:tc>
          <w:p>
            <w:r>
              <w:t>Name/email of person who generated the letter</w:t>
            </w:r>
          </w:p>
        </w:tc>
        <w:tc>
          <w:p>
            <w:r>
              <w:t>Jome Akpoduado</w:t>
            </w:r>
          </w:p>
        </w:tc>
      </w:tr>
    </w:tbl>
    <w:p>
      <w:pPr>
        <w:spacing w:before="200" w:after="100"/>
      </w:pPr>
      <w:r>
        <w:rPr>
          <w:b/>
          <w:sz w:val="32"/>
        </w:rPr>
        <w:t>Quote-Level Tokens</w:t>
      </w:r>
    </w:p>
    <w:p>
      <w:r>
        <w:t xml:space="preserve">These tokens retrieve information from the associated quote: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Token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</w:t>
            </w:r>
          </w:p>
        </w:tc>
      </w:tr>
      <w:tr>
        <w:tc>
          <w:p>
            <w:r>
              <w:t>Q-001</w:t>
            </w:r>
          </w:p>
        </w:tc>
        <w:tc>
          <w:p>
            <w:r>
              <w:t>Quote number/name</w:t>
            </w:r>
          </w:p>
        </w:tc>
        <w:tc>
          <w:p>
            <w:r>
              <w:t>Q-001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Internal quote ID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Acme Pension Scheme</w:t>
            </w:r>
          </w:p>
        </w:tc>
        <w:tc>
          <w:p>
            <w:r>
              <w:t>Pension scheme name</w:t>
            </w:r>
          </w:p>
        </w:tc>
        <w:tc>
          <w:p>
            <w:r>
              <w:t>Acme Pension Scheme</w:t>
            </w:r>
          </w:p>
        </w:tc>
      </w:tr>
      <w:tr>
        <w:tc>
          <w:p>
            <w:r>
              <w:t>John Doe</w:t>
            </w:r>
          </w:p>
        </w:tc>
        <w:tc>
          <w:p>
            <w:r>
              <w:t>Primary contact person for scheme</w:t>
            </w:r>
          </w:p>
        </w:tc>
        <w:tc>
          <w:p>
            <w:r>
              <w:t>John Doe</w:t>
            </w:r>
          </w:p>
        </w:tc>
      </w:tr>
      <w:tr>
        <w:tc>
          <w:p>
            <w:r>
              <w:t>john@acme.com</w:t>
            </w:r>
          </w:p>
        </w:tc>
        <w:tc>
          <w:p>
            <w:r>
              <w:t>Contact email for scheme</w:t>
            </w:r>
          </w:p>
        </w:tc>
        <w:tc>
          <w:p>
            <w:r>
              <w:t>john@acme.com</w:t>
            </w:r>
          </w:p>
        </w:tc>
      </w:tr>
      <w:tr>
        <w:tc>
          <w:p>
            <w:r>
              <w:t>01 May 2026</w:t>
            </w:r>
          </w:p>
        </w:tc>
        <w:tc>
          <w:p>
            <w:r>
              <w:t>Cover start date</w:t>
            </w:r>
          </w:p>
        </w:tc>
        <w:tc>
          <w:p>
            <w:r>
              <w:t>01 May 2026</w:t>
            </w:r>
          </w:p>
        </w:tc>
      </w:tr>
      <w:tr>
        <w:tc>
          <w:p>
            <w:r>
              <w:t>30 Apr 2027</w:t>
            </w:r>
          </w:p>
        </w:tc>
        <w:tc>
          <w:p>
            <w:r>
              <w:t>Cover end date</w:t>
            </w:r>
          </w:p>
        </w:tc>
        <w:tc>
          <w:p>
            <w:r>
              <w:t>30 Apr 2027</w:t>
            </w:r>
          </w:p>
        </w:tc>
      </w:tr>
      <w:tr>
        <w:tc>
          <w:p>
            <w:r>
              <w:t>Manufacturing</w:t>
            </w:r>
          </w:p>
        </w:tc>
        <w:tc>
          <w:p>
            <w:r>
              <w:t>Industry classification</w:t>
            </w:r>
          </w:p>
        </w:tc>
        <w:tc>
          <w:p>
            <w:r>
              <w:t>Manufacturing</w:t>
            </w:r>
          </w:p>
        </w:tc>
      </w:tr>
      <w:tr>
        <w:tc>
          <w:p>
            <w:r>
              <w:t>DC</w:t>
            </w:r>
          </w:p>
        </w:tc>
        <w:tc>
          <w:p>
            <w:r>
              <w:t>DC, DB, or other</w:t>
            </w:r>
          </w:p>
        </w:tc>
        <w:tc>
          <w:p>
            <w:r>
              <w:t>DC</w:t>
            </w:r>
          </w:p>
        </w:tc>
      </w:tr>
      <w:tr>
        <w:tc>
          <w:p>
            <w:r>
              <w:t>ZAR</w:t>
            </w:r>
          </w:p>
        </w:tc>
        <w:tc>
          <w:p>
            <w:r>
              <w:t>Currency code</w:t>
            </w:r>
          </w:p>
        </w:tc>
        <w:tc>
          <w:p>
            <w:r>
              <w:t>ZAR</w:t>
            </w:r>
          </w:p>
        </w:tc>
      </w:tr>
      <w:tr>
        <w:tc>
          <w:p>
            <w:r>
              <w:t>500 000.00</w:t>
            </w:r>
          </w:p>
        </w:tc>
        <w:tc>
          <w:p>
            <w:r>
              <w:t>Free cover limit amount</w:t>
            </w:r>
          </w:p>
        </w:tc>
        <w:tc>
          <w:p>
            <w:r>
              <w:t>500 000.00</w:t>
            </w:r>
          </w:p>
        </w:tc>
      </w:tr>
      <w:tr>
        <w:tc>
          <w:p>
            <w:r>
              <w:t>65</w:t>
            </w:r>
          </w:p>
        </w:tc>
        <w:tc>
          <w:p>
            <w:r>
              <w:t>NRA for scheme</w:t>
            </w:r>
          </w:p>
        </w:tc>
        <w:tc>
          <w:p>
            <w:r>
              <w:t>65</w:t>
            </w:r>
          </w:p>
        </w:tc>
      </w:tr>
      <w:tr>
        <w:tc>
          <w:p>
            <w:r>
              <w:t>120</w:t>
            </w:r>
          </w:p>
        </w:tc>
        <w:tc>
          <w:p>
            <w:r>
              <w:t>Number of members in quote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315 000.00</w:t>
            </w:r>
          </w:p>
        </w:tc>
        <w:tc>
          <w:p>
            <w:r>
              <w:t>Sum of all benefit premiums</w:t>
            </w:r>
          </w:p>
        </w:tc>
        <w:tc>
          <w:p>
            <w:r>
              <w:t>315 000.00</w:t>
            </w:r>
          </w:p>
        </w:tc>
      </w:tr>
    </w:tbl>
    <w:p>
      <w:pPr>
        <w:spacing w:before="200" w:after="100"/>
      </w:pPr>
      <w:r>
        <w:rPr>
          <w:b/>
          <w:sz w:val="32"/>
        </w:rPr>
        <w:t>Insurer Tokens</w:t>
      </w:r>
    </w:p>
    <w:p>
      <w:r>
        <w:t xml:space="preserve">Access insurer details using the insurer object. All fields use dot notation: 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Token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</w:t>
            </w:r>
          </w:p>
        </w:tc>
      </w:tr>
      <w:tr>
        <w:tc>
          <w:p>
            <w:r>
              <w:t>XYZ Insurance Ltd</w:t>
            </w:r>
          </w:p>
        </w:tc>
        <w:tc>
          <w:p>
            <w:r>
              <w:t>Insurer company name</w:t>
            </w:r>
          </w:p>
        </w:tc>
        <w:tc>
          <w:p>
            <w:r>
              <w:t>XYZ Insurance Ltd</w:t>
            </w:r>
          </w:p>
        </w:tc>
      </w:tr>
      <w:tr>
        <w:tc>
          <w:p>
            <w:r>
              <w:t>Jane Smith</w:t>
            </w:r>
          </w:p>
        </w:tc>
        <w:tc>
          <w:p>
            <w:r>
              <w:t>Insurer contact</w:t>
            </w:r>
          </w:p>
        </w:tc>
        <w:tc>
          <w:p>
            <w:r>
              <w:t>Jane Smith</w:t>
            </w:r>
          </w:p>
        </w:tc>
      </w:tr>
      <w:tr>
        <w:tc>
          <w:p>
            <w:r>
              <w:t>claims@xyz.com</w:t>
            </w:r>
          </w:p>
        </w:tc>
        <w:tc>
          <w:p>
            <w:r>
              <w:t>Insurer email address</w:t>
            </w:r>
          </w:p>
        </w:tc>
        <w:tc>
          <w:p>
            <w:r>
              <w:t>claims@xyz.com</w:t>
            </w:r>
          </w:p>
        </w:tc>
      </w:tr>
      <w:tr>
        <w:tc>
          <w:p>
            <w:r>
              <w:t>+27 11 234 5678</w:t>
            </w:r>
          </w:p>
        </w:tc>
        <w:tc>
          <w:p>
            <w:r>
              <w:t>Insurer phone number</w:t>
            </w:r>
          </w:p>
        </w:tc>
        <w:tc>
          <w:p>
            <w:r>
              <w:t>+27 11 234 5678</w:t>
            </w:r>
          </w:p>
        </w:tc>
      </w:tr>
      <w:tr>
        <w:tc>
          <w:p>
            <w:r>
              <w:t>123 Main Street</w:t>
            </w:r>
          </w:p>
        </w:tc>
        <w:tc>
          <w:p>
            <w:r>
              <w:t>Street address line 1</w:t>
            </w:r>
          </w:p>
        </w:tc>
        <w:tc>
          <w:p>
            <w:r>
              <w:t>123 Main Street</w:t>
            </w:r>
          </w:p>
        </w:tc>
      </w:tr>
      <w:tr>
        <w:tc>
          <w:p>
            <w:r>
              <w:t>Suite 100</w:t>
            </w:r>
          </w:p>
        </w:tc>
        <w:tc>
          <w:p>
            <w:r>
              <w:t>Street address line 2</w:t>
            </w:r>
          </w:p>
        </w:tc>
        <w:tc>
          <w:p>
            <w:r>
              <w:t>Suite 100</w:t>
            </w:r>
          </w:p>
        </w:tc>
      </w:tr>
      <w:tr>
        <w:tc>
          <w:p>
            <w:r>
              <w:t/>
            </w:r>
          </w:p>
        </w:tc>
        <w:tc>
          <w:p>
            <w:r>
              <w:t>Street address line 3</w:t>
            </w:r>
          </w:p>
        </w:tc>
        <w:tc>
          <w:p>
            <w:r>
              <w:t/>
            </w:r>
          </w:p>
        </w:tc>
      </w:tr>
      <w:tr>
        <w:tc>
          <w:p>
            <w:r>
              <w:t>Johannesburg</w:t>
            </w:r>
          </w:p>
        </w:tc>
        <w:tc>
          <w:p>
            <w:r>
              <w:t>City</w:t>
            </w:r>
          </w:p>
        </w:tc>
        <w:tc>
          <w:p>
            <w:r>
              <w:t>Johannesburg</w:t>
            </w:r>
          </w:p>
        </w:tc>
      </w:tr>
      <w:tr>
        <w:tc>
          <w:p>
            <w:r>
              <w:t>Gauteng</w:t>
            </w:r>
          </w:p>
        </w:tc>
        <w:tc>
          <w:p>
            <w:r>
              <w:t>Province/state</w:t>
            </w:r>
          </w:p>
        </w:tc>
        <w:tc>
          <w:p>
            <w:r>
              <w:t>Gauteng</w:t>
            </w:r>
          </w:p>
        </w:tc>
      </w:tr>
      <w:tr>
        <w:tc>
          <w:p>
            <w:r>
              <w:t>2000</w:t>
            </w:r>
          </w:p>
        </w:tc>
        <w:tc>
          <w:p>
            <w:r>
              <w:t>Postal code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South Africa</w:t>
            </w:r>
          </w:p>
        </w:tc>
        <w:tc>
          <w:p>
            <w:r>
              <w:t>Country</w:t>
            </w:r>
          </w:p>
        </w:tc>
        <w:tc>
          <w:p>
            <w:r>
              <w:t>South Africa</w:t>
            </w:r>
          </w:p>
        </w:tc>
      </w:tr>
      <w:tr>
        <w:tc>
          <w:p>
            <w:r>
              <w:t>Custom closing text</w:t>
            </w:r>
          </w:p>
        </w:tc>
        <w:tc>
          <w:p>
            <w:r>
              <w:t>Custom closing text for on-risk letters</w:t>
            </w:r>
          </w:p>
        </w:tc>
        <w:tc>
          <w:p>
            <w:r>
              <w:t>Tailored per insurer</w:t>
            </w:r>
          </w:p>
        </w:tc>
      </w:tr>
      <w:tr>
        <w:tc>
          <w:p>
            <w:r>
              <w:t>Custom intro</w:t>
            </w:r>
          </w:p>
        </w:tc>
        <w:tc>
          <w:p>
            <w:r>
              <w:t>Custom introductory text</w:t>
            </w:r>
          </w:p>
        </w:tc>
        <w:tc>
          <w:p>
            <w:r>
              <w:t>Tailored per insurer</w:t>
            </w:r>
          </w:p>
        </w:tc>
      </w:tr>
      <w:tr>
        <w:tc>
          <w:p>
            <w:r>
              <w:t>General provisions</w:t>
            </w:r>
          </w:p>
        </w:tc>
        <w:tc>
          <w:p>
            <w:r>
              <w:t>General provisions text</w:t>
            </w:r>
          </w:p>
        </w:tc>
        <w:tc>
          <w:p>
            <w:r>
              <w:t>Tailored per insurer</w:t>
            </w:r>
          </w:p>
        </w:tc>
      </w:tr>
    </w:tbl>
    <w:p>
      <w:pPr>
        <w:spacing w:before="200" w:after="100"/>
      </w:pPr>
      <w:r>
        <w:rPr>
          <w:b/>
          <w:sz w:val="32"/>
        </w:rPr>
        <w:t>Conditional Flags</w:t>
      </w:r>
    </w:p>
    <w:p>
      <w:r>
        <w:t xml:space="preserve">Use these boolean flags with  syntax: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Flag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True When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 Usage</w:t>
            </w:r>
          </w:p>
        </w:tc>
      </w:tr>
      <w:tr>
        <w:tc>
          <w:p>
            <w:r>
              <w:t/>
            </w:r>
          </w:p>
        </w:tc>
        <w:tc>
          <w:p>
            <w:r>
              <w:t>Quote has continuation_option enabled</w:t>
            </w:r>
          </w:p>
        </w:tc>
        <w:tc>
          <w:p>
            <w:r>
              <w:t>Continuation options available</w:t>
            </w:r>
          </w:p>
        </w:tc>
      </w:tr>
      <w:tr>
        <w:tc>
          <w:p>
            <w:r>
              <w:t/>
            </w:r>
          </w:p>
        </w:tc>
        <w:tc>
          <w:p>
            <w:r>
              <w:t>Distribution channel is 'broker'</w:t>
            </w:r>
          </w:p>
        </w:tc>
        <w:tc>
          <w:p>
            <w:r>
              <w:t>This quote was distributed via Acme Brokers</w:t>
            </w:r>
          </w:p>
        </w:tc>
      </w:tr>
      <w:tr>
        <w:tc>
          <w:p>
            <w:r>
              <w:t/>
            </w:r>
          </w:p>
        </w:tc>
        <w:tc>
          <w:p>
            <w:r>
              <w:t>Benefit summary is not empty</w:t>
            </w:r>
          </w:p>
        </w:tc>
        <w:tc>
          <w:p>
            <w:r>
              <w:t>See benefit breakdown below</w:t>
            </w:r>
          </w:p>
        </w:tc>
      </w:tr>
    </w:tbl>
    <w:p>
      <w:pPr>
        <w:spacing w:before="200" w:after="100"/>
      </w:pPr>
      <w:r>
        <w:rPr>
          <w:b/>
          <w:sz w:val="32"/>
        </w:rPr>
        <w:t>Iteration: Benefit Summary</w:t>
      </w:r>
    </w:p>
    <w:p>
      <w:r>
        <w:t xml:space="preserve">The benefit_summary array contains one entry per benefit type. Each entry has:</w:t>
      </w:r>
    </w:p>
    <w:p/>
    <w:p>
      <w:pPr>
        <w:pStyle w:val="ListBullet"/>
        <w:numPr>
          <w:ilvl w:val="0"/>
          <w:numId w:val="1"/>
        </w:numPr>
      </w:pPr>
      <w:r>
        <w:t>benefit: The benefit name (e.g., 'Group Life Assurance (GLA)')</w:t>
      </w:r>
    </w:p>
    <w:p>
      <w:pPr>
        <w:pStyle w:val="ListBullet"/>
        <w:numPr>
          <w:ilvl w:val="0"/>
          <w:numId w:val="1"/>
        </w:numPr>
      </w:pPr>
      <w:r>
        <w:t>annual_premium: The annual premium for that benefit</w:t>
      </w:r>
    </w:p>
    <w:p/>
    <w:p>
      <w:r>
        <w:t xml:space="preserve">Example template code:</w:t>
      </w:r>
    </w:p>
    <w:p/>
    <w:p>
      <w:r>
        <w:t xml:space="preserve"/>
      </w:r>
    </w:p>
    <w:p>
      <w:r>
        <w:t xml:space="preserve">  — Group Life Assurance (GLA): 120 000.00</w:t>
      </w:r>
    </w:p>
    <w:p>
      <w:r>
        <w:t xml:space="preserve"/>
      </w:r>
    </w:p>
    <w:p>
      <w:r>
        <w:t xml:space="preserve">  — Permanent Total Disability (PTD): 80 000.00</w:t>
      </w:r>
    </w:p>
    <w:p>
      <w:r>
        <w:t xml:space="preserve"/>
      </w:r>
    </w:p>
    <w:p>
      <w:r>
        <w:t xml:space="preserve">  — Critical Illness (CI): 115 000.00</w:t>
      </w:r>
    </w:p>
    <w:p>
      <w:r>
        <w:t xml:space="preserve"/>
      </w:r>
    </w:p>
    <w:p/>
    <w:p>
      <w:r>
        <w:t xml:space="preserve">Output:</w:t>
      </w:r>
    </w:p>
    <w:p>
      <w:pPr>
        <w:pStyle w:val="ListBullet"/>
        <w:numPr>
          <w:ilvl w:val="0"/>
          <w:numId w:val="1"/>
        </w:numPr>
      </w:pPr>
      <w:r>
        <w:t>  — Group Life Assurance (GLA): 120 000.00</w:t>
      </w:r>
    </w:p>
    <w:p>
      <w:pPr>
        <w:pStyle w:val="ListBullet"/>
        <w:numPr>
          <w:ilvl w:val="0"/>
          <w:numId w:val="1"/>
        </w:numPr>
      </w:pPr>
      <w:r>
        <w:t>  — Permanent Total Disability (PTD): 80 000.00</w:t>
      </w:r>
    </w:p>
    <w:p>
      <w:pPr>
        <w:pStyle w:val="ListBullet"/>
        <w:numPr>
          <w:ilvl w:val="0"/>
          <w:numId w:val="1"/>
        </w:numPr>
      </w:pPr>
      <w:r>
        <w:t>  — Critical Illness (CI): 115 000.00</w:t>
      </w:r>
    </w:p>
    <w:p>
      <w:pPr>
        <w:spacing w:before="200" w:after="100"/>
      </w:pPr>
      <w:r>
        <w:rPr>
          <w:b/>
          <w:sz w:val="32"/>
        </w:rPr>
        <w:t>Worked Example: Conditional + Iteration</w:t>
      </w:r>
    </w:p>
    <w:p>
      <w:r>
        <w:t xml:space="preserve">This example combines conditionals and iteration:</w:t>
      </w:r>
    </w:p>
    <w:p/>
    <w:p>
      <w:r>
        <w:t xml:space="preserve">Template:</w:t>
      </w:r>
    </w:p>
    <w:p/>
    <w:p>
      <w:r>
        <w:t xml:space="preserve">Dear John Doe,</w:t>
      </w:r>
    </w:p>
    <w:p/>
    <w:p>
      <w:r>
        <w:t xml:space="preserve">Your quotation Q-001 for Acme Pension Scheme is now on risk as of 01 May 2026.</w:t>
      </w:r>
    </w:p>
    <w:p/>
    <w:p>
      <w:r>
        <w:t xml:space="preserve"/>
      </w:r>
    </w:p>
    <w:p>
      <w:r>
        <w:t xml:space="preserve">The agreed benefits are:</w:t>
      </w:r>
    </w:p>
    <w:p>
      <w:r>
        <w:t xml:space="preserve"/>
      </w:r>
    </w:p>
    <w:p>
      <w:r>
        <w:t xml:space="preserve">  • Group Life Assurance (GLA): 120 000.00</w:t>
      </w:r>
    </w:p>
    <w:p>
      <w:r>
        <w:t xml:space="preserve"/>
      </w:r>
    </w:p>
    <w:p>
      <w:r>
        <w:t xml:space="preserve">  • Permanent Total Disability (PTD): 80 000.00</w:t>
      </w:r>
    </w:p>
    <w:p>
      <w:r>
        <w:t xml:space="preserve"/>
      </w:r>
    </w:p>
    <w:p>
      <w:r>
        <w:t xml:space="preserve">  • Critical Illness (CI): 115 000.00</w:t>
      </w:r>
    </w:p>
    <w:p>
      <w:r>
        <w:t xml:space="preserve"/>
      </w:r>
    </w:p>
    <w:p>
      <w:r>
        <w:t xml:space="preserve"/>
      </w:r>
    </w:p>
    <w:p/>
    <w:p>
      <w:r>
        <w:t xml:space="preserve"/>
      </w:r>
    </w:p>
    <w:p>
      <w:r>
        <w:t xml:space="preserve">This policy is placed through Acme Brokers.</w:t>
      </w:r>
    </w:p>
    <w:p>
      <w:r>
        <w:t xml:space="preserve"/>
      </w:r>
    </w:p>
    <w:p/>
    <w:p>
      <w:r>
        <w:t xml:space="preserve">Best regards,</w:t>
      </w:r>
    </w:p>
    <w:p>
      <w:r>
        <w:t xml:space="preserve">XYZ Insurance Ltd</w:t>
      </w:r>
    </w:p>
    <w:p>
      <w:pPr>
        <w:spacing w:before="200" w:after="100"/>
      </w:pPr>
      <w:r>
        <w:rPr>
          <w:b/>
          <w:sz w:val="32"/>
        </w:rPr>
        <w:t>Template Authoring Tips</w:t>
      </w:r>
    </w:p>
    <w:p/>
    <w:p>
      <w:pPr>
        <w:spacing w:before="100" w:after="50"/>
      </w:pPr>
      <w:r>
        <w:rPr>
          <w:b/>
          <w:sz w:val="28"/>
        </w:rPr>
        <w:t>1. Token Placement</w:t>
      </w:r>
    </w:p>
    <w:p>
      <w:pPr>
        <w:pStyle w:val="ListBullet"/>
        <w:numPr>
          <w:ilvl w:val="0"/>
          <w:numId w:val="1"/>
        </w:numPr>
      </w:pPr>
      <w:r>
        <w:t>Tokens MUST be placed inside &lt;w:t&gt; elements (Word text runs). Do not place them directly in paragraphs or table cells.</w:t>
      </w:r>
    </w:p>
    <w:p>
      <w:pPr>
        <w:pStyle w:val="ListBullet"/>
        <w:numPr>
          <w:ilvl w:val="0"/>
          <w:numId w:val="1"/>
        </w:numPr>
      </w:pPr>
      <w:r>
        <w:t>If a token appears to be split across runs, the system will automatically stitch them together.</w:t>
      </w:r>
    </w:p>
    <w:p/>
    <w:p>
      <w:pPr>
        <w:spacing w:before="100" w:after="50"/>
      </w:pPr>
      <w:r>
        <w:rPr>
          <w:b/>
          <w:sz w:val="28"/>
        </w:rPr>
        <w:t>2. Formatting</w:t>
      </w:r>
    </w:p>
    <w:p>
      <w:pPr>
        <w:pStyle w:val="ListBullet"/>
        <w:numPr>
          <w:ilvl w:val="0"/>
          <w:numId w:val="1"/>
        </w:numPr>
      </w:pPr>
      <w:r>
        <w:t>You can apply formatting (bold, italic, color) to the run containing a token; the token will inherit that formatting.</w:t>
      </w:r>
    </w:p>
    <w:p>
      <w:pPr>
        <w:pStyle w:val="ListBullet"/>
        <w:numPr>
          <w:ilvl w:val="0"/>
          <w:numId w:val="1"/>
        </w:numPr>
      </w:pPr>
      <w:r>
        <w:t>Currency amounts are pre-formatted with space-separated thousands (e.g., '500 000.00').</w:t>
      </w:r>
    </w:p>
    <w:p/>
    <w:p>
      <w:pPr>
        <w:spacing w:before="100" w:after="50"/>
      </w:pPr>
      <w:r>
        <w:rPr>
          <w:b/>
          <w:sz w:val="28"/>
        </w:rPr>
        <w:t>3. Missing Tokens</w:t>
      </w:r>
    </w:p>
    <w:p>
      <w:pPr>
        <w:pStyle w:val="ListBullet"/>
        <w:numPr>
          <w:ilvl w:val="0"/>
          <w:numId w:val="1"/>
        </w:numPr>
      </w:pPr>
      <w:r>
        <w:t>If a token is referenced but missing from the context, it will be replaced with an empty string.</w:t>
      </w:r>
    </w:p>
    <w:p>
      <w:pPr>
        <w:pStyle w:val="ListBullet"/>
        <w:numPr>
          <w:ilvl w:val="0"/>
          <w:numId w:val="1"/>
        </w:numPr>
      </w:pPr>
      <w:r>
        <w:t>Use conditional blocks to hide sections when data might be absent: ...</w:t>
      </w:r>
    </w:p>
    <w:p/>
    <w:p>
      <w:pPr>
        <w:spacing w:before="100" w:after="50"/>
      </w:pPr>
      <w:r>
        <w:rPr>
          <w:b/>
          <w:sz w:val="28"/>
        </w:rPr>
        <w:t>4. Testing Your Template</w:t>
      </w:r>
    </w:p>
    <w:p>
      <w:pPr>
        <w:pStyle w:val="ListBullet"/>
        <w:numPr>
          <w:ilvl w:val="0"/>
          <w:numId w:val="1"/>
        </w:numPr>
      </w:pPr>
      <w:r>
        <w:t>Download the sample template from the admin UI.</w:t>
      </w:r>
    </w:p>
    <w:p>
      <w:pPr>
        <w:pStyle w:val="ListBullet"/>
        <w:numPr>
          <w:ilvl w:val="0"/>
          <w:numId w:val="1"/>
        </w:numPr>
      </w:pPr>
      <w:r>
        <w:t>Edit it in Microsoft Word to add your insurer-specific text and formatting.</w:t>
      </w:r>
    </w:p>
    <w:p>
      <w:pPr>
        <w:pStyle w:val="ListBullet"/>
        <w:numPr>
          <w:ilvl w:val="0"/>
          <w:numId w:val="1"/>
        </w:numPr>
      </w:pPr>
      <w:r>
        <w:t>Keep all tokens unchanged (do not retype them; copy-paste if needed).</w:t>
      </w:r>
    </w:p>
    <w:p>
      <w:pPr>
        <w:pStyle w:val="ListBullet"/>
        <w:numPr>
          <w:ilvl w:val="0"/>
          <w:numId w:val="1"/>
        </w:numPr>
      </w:pPr>
      <w:r>
        <w:t>Upload and test with a real quote in draft status.</w:t>
      </w:r>
    </w:p>
    <w:p/>
    <w:p>
      <w:pPr>
        <w:spacing w:before="100" w:after="50"/>
      </w:pPr>
      <w:r>
        <w:rPr>
          <w:b/>
          <w:sz w:val="28"/>
        </w:rPr>
        <w:t>5. Common Patterns</w:t>
      </w:r>
    </w:p>
    <w:p>
      <w:pPr>
        <w:pStyle w:val="ListBullet"/>
        <w:numPr>
          <w:ilvl w:val="0"/>
          <w:numId w:val="1"/>
        </w:numPr>
      </w:pPr>
      <w:r>
        <w:t>Date fields are pre-formatted ('14 Apr 2026') — no additional formatting needed.</w:t>
      </w:r>
    </w:p>
    <w:p>
      <w:pPr>
        <w:pStyle w:val="ListBullet"/>
        <w:numPr>
          <w:ilvl w:val="0"/>
          <w:numId w:val="1"/>
        </w:numPr>
      </w:pPr>
      <w:r>
        <w:t>Boolean flags like true are true/false; always use with  syntax.</w:t>
      </w:r>
    </w:p>
    <w:p>
      <w:pPr>
        <w:pStyle w:val="ListBullet"/>
        <w:numPr>
          <w:ilvl w:val="0"/>
          <w:numId w:val="1"/>
        </w:numPr>
      </w:pPr>
      <w:r>
        <w:t>Nested objects like XYZ Insurance Ltd use dot notation; never use curly braces inside a token.</w:t>
      </w:r>
    </w:p>
    <w:p/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spacing w:after="100"/>
    </w:pPr>
    <w:r>
      <w:t>On Risk Letter Template Sample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/>
  </w:docDefaults>
  <w:style w:type="paragraph" w:default="1" w:styleId="Normal">
    <w:name w:val="Normal"/>
    <w:qFormat/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footer1.xml.rels><?xml version="1.0" encoding="UTF-8" standalone="yes"?><Relationships xmlns="http://schemas.openxmlformats.org/package/2006/relationships"/>
</file>

<file path=word/_rels/header1.xml.rels><?xml version="1.0" encoding="UTF-8" standalone="yes"?><Relationships xmlns="http://schemas.openxmlformats.org/package/2006/relationships"/>
</file>