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F8" w:rsidRDefault="00B145F8" w:rsidP="00B145F8">
      <w:pPr>
        <w:pStyle w:val="hstyle0"/>
        <w:spacing w:line="276" w:lineRule="auto"/>
        <w:ind w:leftChars="-71" w:left="85" w:hangingChars="71" w:hanging="227"/>
        <w:jc w:val="center"/>
        <w:rPr>
          <w:rFonts w:asciiTheme="minorHAnsi" w:eastAsiaTheme="minorHAnsi" w:hAnsiTheme="minorHAnsi" w:cs="MS Mincho"/>
          <w:i/>
          <w:color w:val="4D4D4D"/>
        </w:rPr>
      </w:pPr>
      <w:r w:rsidRPr="00614E29">
        <w:rPr>
          <w:rFonts w:asciiTheme="minorHAnsi" w:eastAsiaTheme="minorHAnsi" w:hAnsiTheme="minorHAnsi" w:cs="MS Mincho" w:hint="eastAsia"/>
          <w:b/>
          <w:sz w:val="32"/>
        </w:rPr>
        <w:t>연구계획서</w:t>
      </w:r>
      <w:r w:rsidR="009F36A7" w:rsidRPr="00C91515">
        <w:rPr>
          <w:rFonts w:asciiTheme="minorHAnsi" w:eastAsiaTheme="minorHAnsi" w:hAnsiTheme="minorHAnsi" w:cs="MS Mincho" w:hint="eastAsia"/>
          <w:b/>
          <w:color w:val="auto"/>
        </w:rPr>
        <w:t>(version:</w:t>
      </w:r>
      <w:r w:rsidR="00194DFB">
        <w:rPr>
          <w:rFonts w:asciiTheme="minorHAnsi" w:eastAsiaTheme="minorHAnsi" w:hAnsiTheme="minorHAnsi" w:cs="MS Mincho"/>
          <w:b/>
          <w:color w:val="auto"/>
        </w:rPr>
        <w:t>5.1</w:t>
      </w:r>
      <w:r w:rsidRPr="00C91515">
        <w:rPr>
          <w:rFonts w:asciiTheme="minorHAnsi" w:eastAsiaTheme="minorHAnsi" w:hAnsiTheme="minorHAnsi" w:cs="MS Mincho" w:hint="eastAsia"/>
          <w:b/>
          <w:color w:val="auto"/>
        </w:rPr>
        <w:t>)</w:t>
      </w:r>
    </w:p>
    <w:p w:rsidR="00826BCF" w:rsidRPr="00826BCF" w:rsidRDefault="00826BCF" w:rsidP="00B145F8">
      <w:pPr>
        <w:pStyle w:val="hstyle0"/>
        <w:spacing w:line="276" w:lineRule="auto"/>
        <w:ind w:leftChars="-71" w:left="28" w:hangingChars="71" w:hanging="170"/>
        <w:jc w:val="center"/>
        <w:rPr>
          <w:rFonts w:asciiTheme="minorHAnsi" w:eastAsiaTheme="minorHAnsi" w:hAnsiTheme="minorHAnsi" w:cs="MS Mincho"/>
          <w:i/>
          <w:color w:val="4D4D4D"/>
          <w:sz w:val="16"/>
        </w:rPr>
      </w:pPr>
      <w:r w:rsidRPr="00826BCF">
        <w:rPr>
          <w:rFonts w:asciiTheme="minorHAnsi" w:eastAsiaTheme="minorHAnsi" w:hAnsiTheme="minorHAnsi" w:cs="MS Mincho" w:hint="eastAsia"/>
          <w:b/>
          <w:sz w:val="24"/>
        </w:rPr>
        <w:t>(의무기록 또는</w:t>
      </w:r>
      <w:r>
        <w:rPr>
          <w:rFonts w:asciiTheme="minorHAnsi" w:eastAsiaTheme="minorHAnsi" w:hAnsiTheme="minorHAnsi" w:cs="MS Mincho" w:hint="eastAsia"/>
          <w:b/>
          <w:sz w:val="24"/>
        </w:rPr>
        <w:t xml:space="preserve"> 이미 수집된 데이터를 이용한 후향적 연구)</w:t>
      </w:r>
    </w:p>
    <w:p w:rsidR="00B145F8" w:rsidRPr="00614E29" w:rsidRDefault="00B145F8" w:rsidP="00B145F8">
      <w:pPr>
        <w:pStyle w:val="a6"/>
        <w:rPr>
          <w:rFonts w:eastAsiaTheme="minorHAnsi"/>
          <w:b/>
          <w:color w:val="808080" w:themeColor="background1" w:themeShade="80"/>
        </w:rPr>
      </w:pPr>
    </w:p>
    <w:p w:rsidR="00865108" w:rsidRPr="00614E29" w:rsidRDefault="00B145F8" w:rsidP="00B145F8">
      <w:pPr>
        <w:pStyle w:val="a7"/>
        <w:numPr>
          <w:ilvl w:val="0"/>
          <w:numId w:val="1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 xml:space="preserve">연구의 </w:t>
      </w:r>
      <w:r w:rsidR="000B1D4A" w:rsidRPr="00614E29">
        <w:rPr>
          <w:rFonts w:eastAsiaTheme="minorHAnsi" w:hint="eastAsia"/>
          <w:b/>
        </w:rPr>
        <w:t>제목</w:t>
      </w:r>
      <w:r w:rsidRPr="00614E29">
        <w:rPr>
          <w:rFonts w:eastAsiaTheme="minorHAnsi" w:hint="eastAsia"/>
          <w:b/>
        </w:rPr>
        <w:t xml:space="preserve"> </w:t>
      </w:r>
    </w:p>
    <w:p w:rsidR="00C91515" w:rsidRDefault="00C91515" w:rsidP="00C91515">
      <w:pPr>
        <w:pStyle w:val="a9"/>
        <w:shd w:val="clear" w:color="auto" w:fill="FFFFFF"/>
        <w:wordWrap/>
        <w:spacing w:line="264" w:lineRule="auto"/>
        <w:ind w:left="400"/>
        <w:rPr>
          <w:rFonts w:ascii="맑은 고딕" w:eastAsia="맑은 고딕" w:hAnsi="맑은 고딕"/>
          <w:spacing w:val="-6"/>
          <w:w w:val="97"/>
          <w:szCs w:val="24"/>
        </w:rPr>
      </w:pPr>
      <w:r w:rsidRPr="00C91515">
        <w:rPr>
          <w:rFonts w:ascii="맑은 고딕" w:eastAsia="맑은 고딕" w:hAnsi="맑은 고딕" w:hint="eastAsia"/>
          <w:spacing w:val="-6"/>
          <w:w w:val="97"/>
          <w:szCs w:val="24"/>
        </w:rPr>
        <w:t xml:space="preserve">COVID-19 백신과 </w:t>
      </w:r>
      <w:proofErr w:type="spellStart"/>
      <w:r w:rsidRPr="00C91515">
        <w:rPr>
          <w:rFonts w:ascii="맑은 고딕" w:eastAsia="맑은 고딕" w:hAnsi="맑은 고딕" w:hint="eastAsia"/>
          <w:spacing w:val="-6"/>
          <w:w w:val="97"/>
          <w:szCs w:val="24"/>
        </w:rPr>
        <w:t>길랭</w:t>
      </w:r>
      <w:proofErr w:type="spellEnd"/>
      <w:r w:rsidRPr="00C91515">
        <w:rPr>
          <w:rFonts w:ascii="맑은 고딕" w:eastAsia="맑은 고딕" w:hAnsi="맑은 고딕" w:hint="eastAsia"/>
          <w:spacing w:val="-6"/>
          <w:w w:val="97"/>
          <w:szCs w:val="24"/>
        </w:rPr>
        <w:t>-</w:t>
      </w:r>
      <w:proofErr w:type="spellStart"/>
      <w:r w:rsidRPr="00C91515">
        <w:rPr>
          <w:rFonts w:ascii="맑은 고딕" w:eastAsia="맑은 고딕" w:hAnsi="맑은 고딕" w:hint="eastAsia"/>
          <w:spacing w:val="-6"/>
          <w:w w:val="97"/>
          <w:szCs w:val="24"/>
        </w:rPr>
        <w:t>바레</w:t>
      </w:r>
      <w:proofErr w:type="spellEnd"/>
      <w:r w:rsidRPr="00C91515">
        <w:rPr>
          <w:rFonts w:ascii="맑은 고딕" w:eastAsia="맑은 고딕" w:hAnsi="맑은 고딕" w:hint="eastAsia"/>
          <w:spacing w:val="-6"/>
          <w:w w:val="97"/>
          <w:szCs w:val="24"/>
        </w:rPr>
        <w:t xml:space="preserve"> 증후군 및 Parsonage-Turner 증후군의 발병 연관성 전국 다기관 역학 연구 </w:t>
      </w:r>
    </w:p>
    <w:p w:rsidR="00C91515" w:rsidRPr="00C91515" w:rsidRDefault="00C91515" w:rsidP="00C91515">
      <w:pPr>
        <w:pStyle w:val="a9"/>
        <w:shd w:val="clear" w:color="auto" w:fill="FFFFFF"/>
        <w:wordWrap/>
        <w:spacing w:line="264" w:lineRule="auto"/>
        <w:ind w:left="400"/>
        <w:rPr>
          <w:sz w:val="16"/>
        </w:rPr>
      </w:pPr>
    </w:p>
    <w:p w:rsidR="000B1D4A" w:rsidRDefault="000B1D4A" w:rsidP="000B1D4A">
      <w:pPr>
        <w:pStyle w:val="a7"/>
        <w:numPr>
          <w:ilvl w:val="0"/>
          <w:numId w:val="1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>연구의 실시기관명 및 주소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835"/>
        <w:gridCol w:w="4665"/>
      </w:tblGrid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A80D59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연번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A80D59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공동연구기관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A80D59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주소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이대서울병원 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강서구 공항대로 260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제주대학교병원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제주특별자치도 제주시 아란13길 15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인하대병원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인천광역시 중구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인항로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27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의정부을지대학교병원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경기도 의정부시 동일로 712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동국대일산병원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경기도 고양시 일산동구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동국로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27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울산대</w:t>
            </w:r>
            <w:r w:rsidR="009B2C8F"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울산광역시 동구 방어진순환도로 877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충남대학교병원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대전광역시 중구 문화로 282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강동성심병원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강동구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성안로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150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한림대성심병원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경기도 안양시 동안구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관평로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170번길 22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순천향대학교</w:t>
            </w:r>
            <w:r w:rsidR="009B2C8F"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서울병원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용산구 </w:t>
            </w:r>
            <w:proofErr w:type="spellStart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대사관로</w:t>
            </w:r>
            <w:proofErr w:type="spellEnd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 xml:space="preserve"> 59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A80D59"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강남성심병원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서울특별시 영등포구 신길로 1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창원경상국립대학교병원</w:t>
            </w:r>
            <w:proofErr w:type="spellEnd"/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경상남도 진주시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강남로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79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서울의료원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1C129E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중랑구 신내로 156</w:t>
            </w:r>
          </w:p>
        </w:tc>
      </w:tr>
      <w:tr w:rsidR="00C91515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C91515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한양대병원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515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성동구 왕십리로 222-1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고려대학교 안암병원 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서울특별시 성북구 고려대로 73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성균관의대 강북삼성병원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종로구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새문안로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29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18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순천향대학교 천안병원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충청남도 천안시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동남구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봉명동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순천향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6길 31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계명대 동산병원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C9151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경기도 안양시 만안구 안양4동 676-115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아주대학교병원 신경과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경기도 수원시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영통구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원천동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월드컵로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164</w:t>
            </w:r>
          </w:p>
        </w:tc>
      </w:tr>
      <w:tr w:rsidR="00A80D59" w:rsidRPr="00C91515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해운대백병원 신경과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부산광역시 해운대구 해운대로 875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22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양산부산대학교병원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경상남도 양산시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물금읍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금오로 20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가천대</w:t>
            </w:r>
            <w:proofErr w:type="spellEnd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길병원</w:t>
            </w:r>
            <w:proofErr w:type="spellEnd"/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인천광역시 남동구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구월동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남동대로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783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전북대학교 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전라북도 전주시 덕진구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금암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2동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건지로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20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인제대학교 부산백병원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중구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마른내로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9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26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노원을지대학교병원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노원구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한글비석로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68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동아대학교 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부산광역시 서구 대신공원로 26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경희대학교병원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서울특별시 동대문구 회기동 경희대로 23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부천세종병원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/>
                <w:color w:val="333333"/>
                <w:szCs w:val="20"/>
              </w:rPr>
              <w:t xml:space="preserve">경기도 부천시 </w:t>
            </w:r>
            <w:proofErr w:type="spellStart"/>
            <w:r w:rsidRPr="00A80D59">
              <w:rPr>
                <w:rFonts w:asciiTheme="majorHAnsi" w:eastAsiaTheme="majorHAnsi" w:hAnsiTheme="majorHAnsi"/>
                <w:color w:val="333333"/>
                <w:szCs w:val="20"/>
              </w:rPr>
              <w:t>호현로</w:t>
            </w:r>
            <w:proofErr w:type="spellEnd"/>
            <w:r w:rsidRPr="00A80D59">
              <w:rPr>
                <w:rFonts w:asciiTheme="majorHAnsi" w:eastAsiaTheme="majorHAnsi" w:hAnsiTheme="majorHAnsi"/>
                <w:color w:val="333333"/>
                <w:szCs w:val="20"/>
              </w:rPr>
              <w:t xml:space="preserve"> 489번길 28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이대목동병원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양천구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안양천로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1071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서울아산병원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송파구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올림픽로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43길 88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가톨릭대 서울성모병원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서초구 반포대로 222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경북대학교병원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대구광역시 중구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동덕로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130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단국대학교병원 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 xml:space="preserve">충청남도 천안시 </w:t>
            </w:r>
            <w:proofErr w:type="spellStart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동남구</w:t>
            </w:r>
            <w:proofErr w:type="spellEnd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 xml:space="preserve"> </w:t>
            </w:r>
            <w:proofErr w:type="spellStart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망향로</w:t>
            </w:r>
            <w:proofErr w:type="spellEnd"/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 xml:space="preserve"> 201 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35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고려대구로병원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/>
                <w:szCs w:val="20"/>
              </w:rPr>
              <w:t>서울특별시 구로구 시흥대로161길 38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국민건강보험 일산병원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경기도 고양시 일산동구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일산로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100</w:t>
            </w:r>
          </w:p>
        </w:tc>
      </w:tr>
      <w:tr w:rsidR="00A80D59" w:rsidRPr="00A80D59" w:rsidTr="00A80D59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일산백병원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경기도 고양시 일산서구 주화로 170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신촌세브란스</w:t>
            </w:r>
            <w:proofErr w:type="spellEnd"/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서대문구 신촌동 연세로 50-1</w:t>
            </w:r>
          </w:p>
        </w:tc>
      </w:tr>
      <w:tr w:rsidR="00A80D59" w:rsidRPr="00A80D59" w:rsidTr="00A80D59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중앙대병원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서울특별시 동작구 </w:t>
            </w:r>
            <w:proofErr w:type="spellStart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흑석로</w:t>
            </w:r>
            <w:proofErr w:type="spellEnd"/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 xml:space="preserve"> 102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40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보라매병원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Arial"/>
                <w:color w:val="3C4043"/>
                <w:szCs w:val="20"/>
              </w:rPr>
              <w:t>서울특별시 동작구 보라매로5길 20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41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서울대학교 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서울특별시 종로구 대학로 101</w:t>
            </w:r>
          </w:p>
        </w:tc>
      </w:tr>
      <w:tr w:rsidR="00A80D59" w:rsidRPr="00A80D59" w:rsidTr="001C129E">
        <w:trPr>
          <w:trHeight w:val="403"/>
          <w:jc w:val="center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  <w:t>42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분당서울대병원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D59" w:rsidRPr="00A80D59" w:rsidRDefault="00A80D59" w:rsidP="00A80D59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0D59">
              <w:rPr>
                <w:rStyle w:val="bneawe"/>
                <w:rFonts w:asciiTheme="majorHAnsi" w:eastAsiaTheme="majorHAnsi" w:hAnsiTheme="majorHAnsi" w:cs="Arial"/>
                <w:color w:val="3C4043"/>
                <w:szCs w:val="20"/>
              </w:rPr>
              <w:t>경기도 성남시 분당구 구미로173번길 82</w:t>
            </w:r>
          </w:p>
        </w:tc>
      </w:tr>
    </w:tbl>
    <w:p w:rsidR="00C91515" w:rsidRPr="00614E29" w:rsidRDefault="00C91515" w:rsidP="00C91515">
      <w:pPr>
        <w:pStyle w:val="a7"/>
        <w:ind w:leftChars="0" w:left="400"/>
        <w:rPr>
          <w:rFonts w:eastAsiaTheme="minorHAnsi"/>
          <w:b/>
        </w:rPr>
      </w:pPr>
    </w:p>
    <w:p w:rsidR="000B1D4A" w:rsidRPr="00614E29" w:rsidRDefault="000B1D4A" w:rsidP="000B1D4A">
      <w:pPr>
        <w:pStyle w:val="a7"/>
        <w:numPr>
          <w:ilvl w:val="0"/>
          <w:numId w:val="1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>연구책임자 및 연구담당자 등</w:t>
      </w:r>
    </w:p>
    <w:p w:rsidR="000B1D4A" w:rsidRDefault="000B1D4A" w:rsidP="000B1D4A">
      <w:pPr>
        <w:pStyle w:val="a7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연구책임자</w:t>
      </w:r>
    </w:p>
    <w:tbl>
      <w:tblPr>
        <w:tblW w:w="7008" w:type="dxa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2268"/>
        <w:gridCol w:w="909"/>
      </w:tblGrid>
      <w:tr w:rsidR="009B2C8F" w:rsidRPr="008272DF" w:rsidTr="004F1357">
        <w:tc>
          <w:tcPr>
            <w:tcW w:w="3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ind w:firstLineChars="400" w:firstLine="800"/>
              <w:jc w:val="left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t>소속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A223A1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t>직위</w:t>
            </w: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A223A1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t>성명</w:t>
            </w:r>
          </w:p>
        </w:tc>
      </w:tr>
      <w:tr w:rsidR="009B2C8F" w:rsidRPr="008272DF" w:rsidTr="004F1357">
        <w:tc>
          <w:tcPr>
            <w:tcW w:w="3831" w:type="dxa"/>
            <w:tcBorders>
              <w:top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이대서울병원 신경과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임상</w:t>
            </w:r>
            <w:r w:rsidR="00F202E7">
              <w:rPr>
                <w:rFonts w:ascii="맑은 고딕" w:eastAsia="맑은 고딕" w:hAnsi="맑은 고딕" w:cs="Times New Roman" w:hint="eastAsia"/>
              </w:rPr>
              <w:t>부</w:t>
            </w:r>
            <w:r>
              <w:rPr>
                <w:rFonts w:ascii="맑은 고딕" w:eastAsia="맑은 고딕" w:hAnsi="맑은 고딕" w:cs="Times New Roman" w:hint="eastAsia"/>
              </w:rPr>
              <w:t>교수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김지은</w:t>
            </w:r>
          </w:p>
        </w:tc>
      </w:tr>
    </w:tbl>
    <w:p w:rsidR="009B2C8F" w:rsidRPr="009B2C8F" w:rsidRDefault="009B2C8F" w:rsidP="009B2C8F">
      <w:pPr>
        <w:rPr>
          <w:rFonts w:eastAsiaTheme="minorHAnsi"/>
          <w:b/>
          <w:szCs w:val="20"/>
        </w:rPr>
      </w:pPr>
    </w:p>
    <w:p w:rsidR="000B1D4A" w:rsidRDefault="000B1D4A" w:rsidP="000B1D4A">
      <w:pPr>
        <w:pStyle w:val="a7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공동연구자</w:t>
      </w:r>
    </w:p>
    <w:tbl>
      <w:tblPr>
        <w:tblW w:w="7008" w:type="dxa"/>
        <w:tblInd w:w="6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2268"/>
        <w:gridCol w:w="909"/>
      </w:tblGrid>
      <w:tr w:rsidR="009B2C8F" w:rsidRPr="008272DF" w:rsidTr="004F1357">
        <w:tc>
          <w:tcPr>
            <w:tcW w:w="3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ind w:firstLineChars="400" w:firstLine="800"/>
              <w:jc w:val="left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lastRenderedPageBreak/>
              <w:t>소속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t>직위</w:t>
            </w: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center"/>
              <w:rPr>
                <w:rFonts w:ascii="맑은 고딕" w:eastAsia="맑은 고딕" w:hAnsi="맑은 고딕" w:cs="Times New Roman"/>
              </w:rPr>
            </w:pPr>
            <w:r w:rsidRPr="008272DF">
              <w:rPr>
                <w:rFonts w:ascii="맑은 고딕" w:eastAsia="맑은 고딕" w:hAnsi="맑은 고딕" w:cs="Times New Roman"/>
              </w:rPr>
              <w:t>성명</w:t>
            </w:r>
          </w:p>
        </w:tc>
      </w:tr>
      <w:tr w:rsidR="009B2C8F" w:rsidRPr="008272DF" w:rsidTr="009B2C8F">
        <w:tc>
          <w:tcPr>
            <w:tcW w:w="3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이대목동병원 신경과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교수</w:t>
            </w:r>
          </w:p>
        </w:tc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2C8F" w:rsidRPr="008272D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박기덕</w:t>
            </w:r>
          </w:p>
        </w:tc>
      </w:tr>
      <w:tr w:rsidR="009B2C8F" w:rsidRPr="008272DF" w:rsidTr="004F1357">
        <w:tc>
          <w:tcPr>
            <w:tcW w:w="3831" w:type="dxa"/>
            <w:tcBorders>
              <w:top w:val="single" w:sz="4" w:space="0" w:color="auto"/>
            </w:tcBorders>
            <w:shd w:val="clear" w:color="auto" w:fill="auto"/>
          </w:tcPr>
          <w:p w:rsidR="009B2C8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이대목동병원 신경과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9B2C8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전임의</w:t>
            </w:r>
          </w:p>
        </w:tc>
        <w:tc>
          <w:tcPr>
            <w:tcW w:w="909" w:type="dxa"/>
            <w:tcBorders>
              <w:top w:val="single" w:sz="4" w:space="0" w:color="auto"/>
            </w:tcBorders>
            <w:shd w:val="clear" w:color="auto" w:fill="auto"/>
          </w:tcPr>
          <w:p w:rsidR="009B2C8F" w:rsidRDefault="009B2C8F" w:rsidP="004F1357">
            <w:pPr>
              <w:pStyle w:val="hstyle0"/>
              <w:spacing w:line="400" w:lineRule="atLeast"/>
              <w:jc w:val="left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이승아</w:t>
            </w:r>
          </w:p>
        </w:tc>
      </w:tr>
    </w:tbl>
    <w:p w:rsidR="009B2C8F" w:rsidRPr="00614E29" w:rsidRDefault="009B2C8F" w:rsidP="009B2C8F">
      <w:pPr>
        <w:pStyle w:val="a7"/>
        <w:ind w:leftChars="0" w:left="826"/>
        <w:rPr>
          <w:rFonts w:eastAsiaTheme="minorHAnsi"/>
          <w:b/>
          <w:szCs w:val="20"/>
        </w:rPr>
      </w:pPr>
    </w:p>
    <w:p w:rsidR="00826BCF" w:rsidRDefault="000B1D4A" w:rsidP="00826BCF">
      <w:pPr>
        <w:pStyle w:val="a7"/>
        <w:numPr>
          <w:ilvl w:val="0"/>
          <w:numId w:val="2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연구담당자</w:t>
      </w:r>
    </w:p>
    <w:p w:rsidR="003F0907" w:rsidRPr="009B2C8F" w:rsidRDefault="000B2E5C" w:rsidP="003F0907">
      <w:pPr>
        <w:pStyle w:val="a7"/>
        <w:ind w:leftChars="0" w:left="826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이대서울병원 신경과 </w:t>
      </w:r>
      <w:proofErr w:type="spellStart"/>
      <w:r w:rsidR="002F41F8">
        <w:rPr>
          <w:rFonts w:eastAsiaTheme="minorHAnsi" w:hint="eastAsia"/>
          <w:szCs w:val="20"/>
        </w:rPr>
        <w:t>임상부교수</w:t>
      </w:r>
      <w:proofErr w:type="spellEnd"/>
      <w:r w:rsidR="002F41F8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김지은</w:t>
      </w:r>
    </w:p>
    <w:p w:rsidR="000B1D4A" w:rsidRPr="00614E29" w:rsidRDefault="000B1D4A" w:rsidP="000B1D4A">
      <w:pPr>
        <w:pStyle w:val="a7"/>
        <w:numPr>
          <w:ilvl w:val="0"/>
          <w:numId w:val="1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 의뢰기관</w:t>
      </w:r>
    </w:p>
    <w:p w:rsidR="000B1D4A" w:rsidRDefault="000B1D4A" w:rsidP="000B1D4A">
      <w:pPr>
        <w:pStyle w:val="a7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 의뢰기관 명칭</w:t>
      </w:r>
      <w:r w:rsidR="009B2C8F">
        <w:rPr>
          <w:rFonts w:eastAsiaTheme="minorHAnsi" w:hint="eastAsia"/>
          <w:b/>
          <w:szCs w:val="20"/>
        </w:rPr>
        <w:t xml:space="preserve"> </w:t>
      </w:r>
    </w:p>
    <w:p w:rsidR="009B2C8F" w:rsidRPr="009B2C8F" w:rsidRDefault="009B2C8F" w:rsidP="009B2C8F">
      <w:pPr>
        <w:pStyle w:val="a7"/>
        <w:ind w:leftChars="0" w:left="826"/>
        <w:rPr>
          <w:rFonts w:eastAsiaTheme="minorHAnsi"/>
          <w:szCs w:val="20"/>
        </w:rPr>
      </w:pPr>
      <w:r w:rsidRPr="009B2C8F">
        <w:rPr>
          <w:rFonts w:eastAsiaTheme="minorHAnsi" w:hint="eastAsia"/>
          <w:szCs w:val="20"/>
        </w:rPr>
        <w:t>없음</w:t>
      </w:r>
    </w:p>
    <w:p w:rsidR="009F36A7" w:rsidRDefault="000B1D4A" w:rsidP="003F0907">
      <w:pPr>
        <w:pStyle w:val="a7"/>
        <w:numPr>
          <w:ilvl w:val="0"/>
          <w:numId w:val="3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모니터요원 직명 및 성명</w:t>
      </w:r>
    </w:p>
    <w:p w:rsidR="003F0907" w:rsidRPr="009B2C8F" w:rsidRDefault="009B2C8F" w:rsidP="003F0907">
      <w:pPr>
        <w:pStyle w:val="a7"/>
        <w:ind w:leftChars="0" w:left="826"/>
        <w:rPr>
          <w:rFonts w:eastAsiaTheme="minorHAnsi"/>
          <w:szCs w:val="20"/>
        </w:rPr>
      </w:pPr>
      <w:r w:rsidRPr="009B2C8F">
        <w:rPr>
          <w:rFonts w:eastAsiaTheme="minorHAnsi" w:hint="eastAsia"/>
          <w:szCs w:val="20"/>
        </w:rPr>
        <w:t>없음</w:t>
      </w:r>
    </w:p>
    <w:p w:rsidR="00D638D1" w:rsidRPr="00614E29" w:rsidRDefault="00D638D1" w:rsidP="00D638D1">
      <w:pPr>
        <w:pStyle w:val="a7"/>
        <w:numPr>
          <w:ilvl w:val="0"/>
          <w:numId w:val="6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 xml:space="preserve">연구비 지원기관 </w:t>
      </w:r>
    </w:p>
    <w:p w:rsidR="00D638D1" w:rsidRDefault="00D638D1" w:rsidP="00D638D1">
      <w:pPr>
        <w:pStyle w:val="a7"/>
        <w:numPr>
          <w:ilvl w:val="0"/>
          <w:numId w:val="8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연구비 지원기관 명칭</w:t>
      </w:r>
    </w:p>
    <w:p w:rsidR="009B2C8F" w:rsidRPr="009B2C8F" w:rsidRDefault="009B2C8F" w:rsidP="009B2C8F">
      <w:pPr>
        <w:pStyle w:val="a7"/>
        <w:ind w:leftChars="0" w:left="826"/>
        <w:rPr>
          <w:rFonts w:eastAsiaTheme="minorHAnsi"/>
          <w:szCs w:val="20"/>
        </w:rPr>
      </w:pPr>
      <w:proofErr w:type="spellStart"/>
      <w:r w:rsidRPr="009B2C8F">
        <w:rPr>
          <w:rFonts w:eastAsiaTheme="minorHAnsi" w:hint="eastAsia"/>
          <w:szCs w:val="20"/>
        </w:rPr>
        <w:t>대한임상신경생리학회</w:t>
      </w:r>
      <w:proofErr w:type="spellEnd"/>
      <w:r w:rsidRPr="009B2C8F">
        <w:rPr>
          <w:rFonts w:eastAsiaTheme="minorHAnsi" w:hint="eastAsia"/>
          <w:szCs w:val="20"/>
        </w:rPr>
        <w:t xml:space="preserve"> </w:t>
      </w:r>
      <w:r w:rsidRPr="009B2C8F">
        <w:rPr>
          <w:rFonts w:eastAsiaTheme="minorHAnsi"/>
          <w:szCs w:val="20"/>
        </w:rPr>
        <w:t>– 2022</w:t>
      </w:r>
      <w:r w:rsidRPr="009B2C8F">
        <w:rPr>
          <w:rFonts w:eastAsiaTheme="minorHAnsi" w:hint="eastAsia"/>
          <w:szCs w:val="20"/>
        </w:rPr>
        <w:t xml:space="preserve">년 </w:t>
      </w:r>
      <w:proofErr w:type="spellStart"/>
      <w:r w:rsidRPr="009B2C8F">
        <w:rPr>
          <w:rFonts w:eastAsiaTheme="minorHAnsi" w:hint="eastAsia"/>
          <w:szCs w:val="20"/>
        </w:rPr>
        <w:t>대한임상신경생리학회</w:t>
      </w:r>
      <w:proofErr w:type="spellEnd"/>
      <w:r w:rsidRPr="009B2C8F">
        <w:rPr>
          <w:rFonts w:eastAsiaTheme="minorHAnsi" w:hint="eastAsia"/>
          <w:szCs w:val="20"/>
        </w:rPr>
        <w:t xml:space="preserve"> </w:t>
      </w:r>
      <w:proofErr w:type="spellStart"/>
      <w:r w:rsidRPr="009B2C8F">
        <w:rPr>
          <w:rFonts w:eastAsiaTheme="minorHAnsi" w:hint="eastAsia"/>
          <w:szCs w:val="20"/>
        </w:rPr>
        <w:t>다기관</w:t>
      </w:r>
      <w:proofErr w:type="spellEnd"/>
      <w:r w:rsidRPr="009B2C8F">
        <w:rPr>
          <w:rFonts w:eastAsiaTheme="minorHAnsi" w:hint="eastAsia"/>
          <w:szCs w:val="20"/>
        </w:rPr>
        <w:t xml:space="preserve"> 기획 연구 </w:t>
      </w:r>
    </w:p>
    <w:p w:rsidR="00D638D1" w:rsidRDefault="00D638D1" w:rsidP="00826BCF">
      <w:pPr>
        <w:pStyle w:val="a7"/>
        <w:numPr>
          <w:ilvl w:val="0"/>
          <w:numId w:val="6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 대상 질환</w:t>
      </w:r>
    </w:p>
    <w:p w:rsidR="00A223A1" w:rsidRPr="00A223A1" w:rsidRDefault="00A223A1" w:rsidP="00A223A1">
      <w:pPr>
        <w:pStyle w:val="a9"/>
        <w:spacing w:line="432" w:lineRule="auto"/>
        <w:ind w:left="400"/>
        <w:rPr>
          <w:b/>
          <w:sz w:val="16"/>
        </w:rPr>
      </w:pPr>
      <w:r w:rsidRPr="00A223A1">
        <w:rPr>
          <w:rFonts w:ascii="맑은 고딕" w:eastAsia="맑은 고딕" w:hAnsi="맑은 고딕" w:hint="eastAsia"/>
          <w:b/>
          <w:szCs w:val="24"/>
        </w:rPr>
        <w:t>1</w:t>
      </w:r>
      <w:r w:rsidRPr="00A223A1">
        <w:rPr>
          <w:rFonts w:ascii="맑은 고딕" w:eastAsia="맑은 고딕" w:hAnsi="맑은 고딕"/>
          <w:b/>
          <w:szCs w:val="24"/>
        </w:rPr>
        <w:t>)</w:t>
      </w:r>
      <w:r w:rsidRPr="00A223A1">
        <w:rPr>
          <w:rFonts w:ascii="맑은 고딕" w:eastAsia="맑은 고딕" w:hAnsi="맑은 고딕" w:hint="eastAsia"/>
          <w:b/>
          <w:szCs w:val="24"/>
        </w:rPr>
        <w:t xml:space="preserve"> </w:t>
      </w:r>
      <w:proofErr w:type="spellStart"/>
      <w:r w:rsidRPr="00A223A1">
        <w:rPr>
          <w:rFonts w:ascii="맑은 고딕" w:eastAsia="맑은 고딕" w:hAnsi="맑은 고딕" w:hint="eastAsia"/>
          <w:b/>
          <w:szCs w:val="24"/>
        </w:rPr>
        <w:t>길랭</w:t>
      </w:r>
      <w:proofErr w:type="spellEnd"/>
      <w:r w:rsidRPr="00A223A1">
        <w:rPr>
          <w:rFonts w:ascii="맑은 고딕" w:eastAsia="맑은 고딕" w:hAnsi="맑은 고딕" w:hint="eastAsia"/>
          <w:b/>
          <w:szCs w:val="24"/>
        </w:rPr>
        <w:t>-</w:t>
      </w:r>
      <w:proofErr w:type="spellStart"/>
      <w:r w:rsidRPr="00A223A1">
        <w:rPr>
          <w:rFonts w:ascii="맑은 고딕" w:eastAsia="맑은 고딕" w:hAnsi="맑은 고딕" w:hint="eastAsia"/>
          <w:b/>
          <w:szCs w:val="24"/>
        </w:rPr>
        <w:t>바레증후군</w:t>
      </w:r>
      <w:proofErr w:type="spellEnd"/>
      <w:r w:rsidRPr="00A223A1">
        <w:rPr>
          <w:rFonts w:ascii="맑은 고딕" w:eastAsia="맑은 고딕" w:hAnsi="맑은 고딕" w:hint="eastAsia"/>
          <w:b/>
          <w:szCs w:val="24"/>
        </w:rPr>
        <w:t xml:space="preserve"> 및 밀러-피셔 증후군 등의 아형</w:t>
      </w:r>
    </w:p>
    <w:p w:rsidR="00A223A1" w:rsidRPr="00A223A1" w:rsidRDefault="00A223A1" w:rsidP="00A223A1">
      <w:pPr>
        <w:pStyle w:val="a9"/>
        <w:spacing w:line="432" w:lineRule="auto"/>
        <w:ind w:left="400"/>
        <w:rPr>
          <w:b/>
          <w:sz w:val="16"/>
        </w:rPr>
      </w:pPr>
      <w:proofErr w:type="gramStart"/>
      <w:r w:rsidRPr="00A223A1">
        <w:rPr>
          <w:rFonts w:ascii="맑은 고딕" w:eastAsia="맑은 고딕" w:hAnsi="맑은 고딕" w:hint="eastAsia"/>
          <w:b/>
          <w:szCs w:val="24"/>
        </w:rPr>
        <w:t>2</w:t>
      </w:r>
      <w:r w:rsidR="00A80D59">
        <w:rPr>
          <w:rFonts w:ascii="맑은 고딕" w:eastAsia="맑은 고딕" w:hAnsi="맑은 고딕"/>
          <w:b/>
          <w:szCs w:val="24"/>
        </w:rPr>
        <w:t xml:space="preserve"> </w:t>
      </w:r>
      <w:r w:rsidRPr="00A223A1">
        <w:rPr>
          <w:rFonts w:ascii="맑은 고딕" w:eastAsia="맑은 고딕" w:hAnsi="맑은 고딕"/>
          <w:b/>
          <w:szCs w:val="24"/>
        </w:rPr>
        <w:t>)</w:t>
      </w:r>
      <w:proofErr w:type="gramEnd"/>
      <w:r w:rsidR="000B2E5C">
        <w:rPr>
          <w:rFonts w:ascii="맑은 고딕" w:eastAsia="맑은 고딕" w:hAnsi="맑은 고딕"/>
          <w:b/>
          <w:szCs w:val="24"/>
        </w:rPr>
        <w:t xml:space="preserve"> </w:t>
      </w:r>
      <w:r w:rsidRPr="00A223A1">
        <w:rPr>
          <w:rFonts w:ascii="맑은 고딕" w:eastAsia="맑은 고딕" w:hAnsi="맑은 고딕" w:hint="eastAsia"/>
          <w:b/>
          <w:szCs w:val="24"/>
        </w:rPr>
        <w:t>Parsonage-Turner 증후군 (</w:t>
      </w:r>
      <w:r w:rsidR="000B2E5C">
        <w:rPr>
          <w:rFonts w:ascii="맑은 고딕" w:eastAsia="맑은 고딕" w:hAnsi="맑은 고딕"/>
          <w:b/>
          <w:szCs w:val="24"/>
        </w:rPr>
        <w:t>=</w:t>
      </w:r>
      <w:r w:rsidRPr="00A223A1">
        <w:rPr>
          <w:rFonts w:ascii="맑은 고딕" w:eastAsia="맑은 고딕" w:hAnsi="맑은 고딕" w:hint="eastAsia"/>
          <w:b/>
          <w:szCs w:val="24"/>
        </w:rPr>
        <w:t xml:space="preserve">Neuralgic </w:t>
      </w:r>
      <w:proofErr w:type="spellStart"/>
      <w:r w:rsidRPr="00A223A1">
        <w:rPr>
          <w:rFonts w:ascii="맑은 고딕" w:eastAsia="맑은 고딕" w:hAnsi="맑은 고딕" w:hint="eastAsia"/>
          <w:b/>
          <w:szCs w:val="24"/>
        </w:rPr>
        <w:t>amyotrophy</w:t>
      </w:r>
      <w:proofErr w:type="spellEnd"/>
      <w:r w:rsidRPr="00A223A1">
        <w:rPr>
          <w:rFonts w:ascii="맑은 고딕" w:eastAsia="맑은 고딕" w:hAnsi="맑은 고딕" w:hint="eastAsia"/>
          <w:b/>
          <w:szCs w:val="24"/>
        </w:rPr>
        <w:t xml:space="preserve">, </w:t>
      </w:r>
      <w:r w:rsidR="000B2E5C">
        <w:rPr>
          <w:rFonts w:ascii="맑은 고딕" w:eastAsia="맑은 고딕" w:hAnsi="맑은 고딕"/>
          <w:b/>
          <w:szCs w:val="24"/>
        </w:rPr>
        <w:t>=</w:t>
      </w:r>
      <w:r w:rsidRPr="00A223A1">
        <w:rPr>
          <w:rFonts w:ascii="맑은 고딕" w:eastAsia="맑은 고딕" w:hAnsi="맑은 고딕" w:hint="eastAsia"/>
          <w:b/>
          <w:szCs w:val="24"/>
        </w:rPr>
        <w:t xml:space="preserve">Idiopathic brachial </w:t>
      </w:r>
      <w:proofErr w:type="spellStart"/>
      <w:r w:rsidRPr="00A223A1">
        <w:rPr>
          <w:rFonts w:ascii="맑은 고딕" w:eastAsia="맑은 고딕" w:hAnsi="맑은 고딕" w:hint="eastAsia"/>
          <w:b/>
          <w:szCs w:val="24"/>
        </w:rPr>
        <w:t>plexitis</w:t>
      </w:r>
      <w:proofErr w:type="spellEnd"/>
      <w:r w:rsidRPr="00A223A1">
        <w:rPr>
          <w:rFonts w:ascii="맑은 고딕" w:eastAsia="맑은 고딕" w:hAnsi="맑은 고딕" w:hint="eastAsia"/>
          <w:b/>
          <w:szCs w:val="24"/>
        </w:rPr>
        <w:t>)</w:t>
      </w:r>
    </w:p>
    <w:p w:rsidR="003F0907" w:rsidRPr="00A80D59" w:rsidRDefault="00A223A1" w:rsidP="00A80D59">
      <w:pPr>
        <w:pStyle w:val="a9"/>
        <w:spacing w:line="432" w:lineRule="auto"/>
        <w:ind w:left="400"/>
        <w:rPr>
          <w:sz w:val="16"/>
        </w:rPr>
      </w:pPr>
      <w:r w:rsidRPr="00A223A1">
        <w:rPr>
          <w:rFonts w:ascii="맑은 고딕" w:eastAsia="맑은 고딕" w:hAnsi="맑은 고딕" w:hint="eastAsia"/>
          <w:szCs w:val="24"/>
        </w:rPr>
        <w:t xml:space="preserve">* </w:t>
      </w:r>
      <w:r w:rsidR="00A80D59">
        <w:rPr>
          <w:rFonts w:ascii="맑은 고딕" w:eastAsia="맑은 고딕" w:hAnsi="맑은 고딕" w:hint="eastAsia"/>
          <w:szCs w:val="24"/>
        </w:rPr>
        <w:t>1</w:t>
      </w:r>
      <w:r w:rsidR="00A80D59">
        <w:rPr>
          <w:rFonts w:ascii="맑은 고딕" w:eastAsia="맑은 고딕" w:hAnsi="맑은 고딕"/>
          <w:szCs w:val="24"/>
        </w:rPr>
        <w:t>)</w:t>
      </w:r>
      <w:r w:rsidRPr="00A223A1">
        <w:rPr>
          <w:rFonts w:ascii="맑은 고딕" w:eastAsia="맑은 고딕" w:hAnsi="맑은 고딕" w:hint="eastAsia"/>
          <w:szCs w:val="24"/>
        </w:rPr>
        <w:t xml:space="preserve">과 </w:t>
      </w:r>
      <w:r w:rsidR="00A80D59">
        <w:rPr>
          <w:rFonts w:ascii="맑은 고딕" w:eastAsia="맑은 고딕" w:hAnsi="맑은 고딕" w:hint="eastAsia"/>
          <w:szCs w:val="24"/>
        </w:rPr>
        <w:t>2</w:t>
      </w:r>
      <w:r w:rsidR="00A80D59">
        <w:rPr>
          <w:rFonts w:ascii="맑은 고딕" w:eastAsia="맑은 고딕" w:hAnsi="맑은 고딕"/>
          <w:szCs w:val="24"/>
        </w:rPr>
        <w:t>)</w:t>
      </w:r>
      <w:r w:rsidRPr="00A223A1">
        <w:rPr>
          <w:rFonts w:ascii="맑은 고딕" w:eastAsia="맑은 고딕" w:hAnsi="맑은 고딕" w:hint="eastAsia"/>
          <w:szCs w:val="24"/>
        </w:rPr>
        <w:t>는 별개 질환으로 구분하여 분석함.</w:t>
      </w:r>
    </w:p>
    <w:p w:rsidR="00D638D1" w:rsidRPr="00614E29" w:rsidRDefault="00D638D1" w:rsidP="00D638D1">
      <w:pPr>
        <w:pStyle w:val="a7"/>
        <w:numPr>
          <w:ilvl w:val="0"/>
          <w:numId w:val="6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연구의 배경 및 목적</w:t>
      </w:r>
    </w:p>
    <w:p w:rsidR="00D638D1" w:rsidRPr="00614E29" w:rsidRDefault="00D638D1" w:rsidP="00D638D1">
      <w:pPr>
        <w:pStyle w:val="a7"/>
        <w:numPr>
          <w:ilvl w:val="0"/>
          <w:numId w:val="7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연구의 배경</w:t>
      </w:r>
    </w:p>
    <w:p w:rsidR="00A223A1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B2C8F" w:rsidRPr="009B2C8F">
        <w:rPr>
          <w:rFonts w:eastAsiaTheme="minorHAnsi"/>
          <w:szCs w:val="20"/>
        </w:rPr>
        <w:t>제2형 중증급성호흡기증후군 코로나바이러스 2 (SARS-CoV-2)의 세계적 유행에 따라, 백신 접종을 통한 집단면역 형성이 세계적으로 중요한 보건과제가 되었음. 한국의 경우, 8월 중하</w:t>
      </w:r>
      <w:r w:rsidR="009B2C8F" w:rsidRPr="009B2C8F">
        <w:rPr>
          <w:rFonts w:eastAsiaTheme="minorHAnsi"/>
          <w:szCs w:val="20"/>
        </w:rPr>
        <w:lastRenderedPageBreak/>
        <w:t xml:space="preserve">순 시점을 기준으로 50%의 인구가 1차 접종을 받았고, 접종 완료율은 22.5%로, 향후 백신 접종율이 가속화 및 본격화될 전망임. </w:t>
      </w:r>
      <w:proofErr w:type="spellStart"/>
      <w:r w:rsidR="009B2C8F" w:rsidRPr="009B2C8F">
        <w:rPr>
          <w:rFonts w:eastAsiaTheme="minorHAnsi"/>
          <w:szCs w:val="20"/>
        </w:rPr>
        <w:t>판데믹이</w:t>
      </w:r>
      <w:proofErr w:type="spellEnd"/>
      <w:r w:rsidR="009B2C8F" w:rsidRPr="009B2C8F">
        <w:rPr>
          <w:rFonts w:eastAsiaTheme="minorHAnsi"/>
          <w:szCs w:val="20"/>
        </w:rPr>
        <w:t xml:space="preserve"> 장기화되면서, 접종 </w:t>
      </w:r>
      <w:proofErr w:type="spellStart"/>
      <w:r w:rsidR="009B2C8F" w:rsidRPr="009B2C8F">
        <w:rPr>
          <w:rFonts w:eastAsiaTheme="minorHAnsi"/>
          <w:szCs w:val="20"/>
        </w:rPr>
        <w:t>완료자에</w:t>
      </w:r>
      <w:proofErr w:type="spellEnd"/>
      <w:r w:rsidR="009B2C8F" w:rsidRPr="009B2C8F">
        <w:rPr>
          <w:rFonts w:eastAsiaTheme="minorHAnsi"/>
          <w:szCs w:val="20"/>
        </w:rPr>
        <w:t xml:space="preserve"> 대해서도 </w:t>
      </w:r>
      <w:proofErr w:type="spellStart"/>
      <w:r w:rsidR="009B2C8F" w:rsidRPr="009B2C8F">
        <w:rPr>
          <w:rFonts w:eastAsiaTheme="minorHAnsi"/>
          <w:szCs w:val="20"/>
        </w:rPr>
        <w:t>부스터</w:t>
      </w:r>
      <w:proofErr w:type="spellEnd"/>
      <w:r w:rsidR="009B2C8F" w:rsidRPr="009B2C8F">
        <w:rPr>
          <w:rFonts w:eastAsiaTheme="minorHAnsi"/>
          <w:szCs w:val="20"/>
        </w:rPr>
        <w:t xml:space="preserve"> 샷의 필요성이 제기됨. 더욱이, 델타 등 변이 바이러스에 대한 방어를 위한 새로</w:t>
      </w:r>
      <w:r w:rsidR="009B2C8F" w:rsidRPr="009B2C8F">
        <w:rPr>
          <w:rFonts w:eastAsiaTheme="minorHAnsi" w:hint="eastAsia"/>
          <w:szCs w:val="20"/>
        </w:rPr>
        <w:t>운</w:t>
      </w:r>
      <w:r w:rsidR="009B2C8F" w:rsidRPr="009B2C8F">
        <w:rPr>
          <w:rFonts w:eastAsiaTheme="minorHAnsi"/>
          <w:szCs w:val="20"/>
        </w:rPr>
        <w:t xml:space="preserve"> 백신 개발도 진행되고 있음. 이에 따라, COVID-19 백신 프로그램은 반복화, 장기화될 가능성이 높음.</w:t>
      </w:r>
    </w:p>
    <w:p w:rsidR="009B2C8F" w:rsidRPr="009B2C8F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B2C8F" w:rsidRPr="009B2C8F">
        <w:rPr>
          <w:rFonts w:eastAsiaTheme="minorHAnsi"/>
          <w:szCs w:val="20"/>
        </w:rPr>
        <w:t>COVID-19 백신의 보건적 이득에도 불구하고, 접종 후 합병증에 대한 국민적 우려 및 공포가 큰 상황임. 실제로, COVID-19 백신의 주요 임상시험에서 중요한 안전성 문제는 발견되지 않았으나, 접종 캠페인이 개시된 이후 다양한 면역, 신경계 관련 부작용이 보고되고 있음.</w:t>
      </w:r>
    </w:p>
    <w:p w:rsidR="009B2C8F" w:rsidRPr="009B2C8F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B2C8F" w:rsidRPr="009B2C8F">
        <w:rPr>
          <w:rFonts w:eastAsiaTheme="minorHAnsi"/>
          <w:szCs w:val="20"/>
        </w:rPr>
        <w:t xml:space="preserve">최근 </w:t>
      </w:r>
      <w:proofErr w:type="spellStart"/>
      <w:r w:rsidR="009B2C8F" w:rsidRPr="009B2C8F">
        <w:rPr>
          <w:rFonts w:eastAsiaTheme="minorHAnsi"/>
          <w:szCs w:val="20"/>
        </w:rPr>
        <w:t>치명률이</w:t>
      </w:r>
      <w:proofErr w:type="spellEnd"/>
      <w:r w:rsidR="009B2C8F" w:rsidRPr="009B2C8F">
        <w:rPr>
          <w:rFonts w:eastAsiaTheme="minorHAnsi"/>
          <w:szCs w:val="20"/>
        </w:rPr>
        <w:t xml:space="preserve"> 높은 </w:t>
      </w:r>
      <w:proofErr w:type="spellStart"/>
      <w:r w:rsidR="009B2C8F" w:rsidRPr="009B2C8F">
        <w:rPr>
          <w:rFonts w:eastAsiaTheme="minorHAnsi"/>
          <w:szCs w:val="20"/>
        </w:rPr>
        <w:t>백신유도혈소판감소성혈전증</w:t>
      </w:r>
      <w:proofErr w:type="spellEnd"/>
      <w:r w:rsidR="009B2C8F" w:rsidRPr="009B2C8F">
        <w:rPr>
          <w:rFonts w:eastAsiaTheme="minorHAnsi"/>
          <w:szCs w:val="20"/>
        </w:rPr>
        <w:t xml:space="preserve"> (VITT)가 COVID-19 바이러스 벡터 백신에 의해 발생할 수 있음이 보고됨. 또한, 벡터 백신을 위주로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바레증후군</w:t>
      </w:r>
      <w:proofErr w:type="spellEnd"/>
      <w:r w:rsidR="009B2C8F" w:rsidRPr="009B2C8F">
        <w:rPr>
          <w:rFonts w:eastAsiaTheme="minorHAnsi"/>
          <w:szCs w:val="20"/>
        </w:rPr>
        <w:t xml:space="preserve"> 발생의 보고가 증가함에 따라 최근 FDA에서는 </w:t>
      </w:r>
      <w:proofErr w:type="spellStart"/>
      <w:r w:rsidR="009B2C8F" w:rsidRPr="009B2C8F">
        <w:rPr>
          <w:rFonts w:eastAsiaTheme="minorHAnsi"/>
          <w:szCs w:val="20"/>
        </w:rPr>
        <w:t>얀센</w:t>
      </w:r>
      <w:proofErr w:type="spellEnd"/>
      <w:r w:rsidR="009B2C8F" w:rsidRPr="009B2C8F">
        <w:rPr>
          <w:rFonts w:eastAsiaTheme="minorHAnsi"/>
          <w:szCs w:val="20"/>
        </w:rPr>
        <w:t xml:space="preserve"> 백신 접종 후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바레증후군</w:t>
      </w:r>
      <w:proofErr w:type="spellEnd"/>
      <w:r w:rsidR="009B2C8F" w:rsidRPr="009B2C8F">
        <w:rPr>
          <w:rFonts w:eastAsiaTheme="minorHAnsi"/>
          <w:szCs w:val="20"/>
        </w:rPr>
        <w:t xml:space="preserve"> 위험성을 언급하였음.</w:t>
      </w:r>
    </w:p>
    <w:p w:rsidR="009B2C8F" w:rsidRPr="009B2C8F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B2C8F" w:rsidRPr="009B2C8F">
        <w:rPr>
          <w:rFonts w:eastAsiaTheme="minorHAnsi"/>
          <w:szCs w:val="20"/>
        </w:rPr>
        <w:t xml:space="preserve">수두 및 미국 독감 백신 접종과 관련하여 비대칭적 </w:t>
      </w:r>
      <w:proofErr w:type="spellStart"/>
      <w:r w:rsidR="009B2C8F" w:rsidRPr="009B2C8F">
        <w:rPr>
          <w:rFonts w:eastAsiaTheme="minorHAnsi"/>
          <w:szCs w:val="20"/>
        </w:rPr>
        <w:t>상지</w:t>
      </w:r>
      <w:proofErr w:type="spellEnd"/>
      <w:r w:rsidR="009B2C8F" w:rsidRPr="009B2C8F">
        <w:rPr>
          <w:rFonts w:eastAsiaTheme="minorHAnsi"/>
          <w:szCs w:val="20"/>
        </w:rPr>
        <w:t xml:space="preserve"> 위약이 발생하는 Parsonage-Turner 증후군(=특발성 상완신경총염) 보고가 있으며, Parsonage-Turner 증후군이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</w:t>
      </w:r>
      <w:proofErr w:type="spellEnd"/>
      <w:r w:rsidR="009B2C8F" w:rsidRPr="009B2C8F">
        <w:rPr>
          <w:rFonts w:eastAsiaTheme="minorHAnsi"/>
          <w:szCs w:val="20"/>
        </w:rPr>
        <w:t xml:space="preserve"> 증후군과 유사한 자가면역 이상에 의해 발병하는 것으로 알려진 일부 Parsonage-Turner 증후군도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</w:t>
      </w:r>
      <w:proofErr w:type="spellEnd"/>
      <w:r w:rsidR="009B2C8F" w:rsidRPr="009B2C8F">
        <w:rPr>
          <w:rFonts w:eastAsiaTheme="minorHAnsi"/>
          <w:szCs w:val="20"/>
        </w:rPr>
        <w:t xml:space="preserve"> 증후군의 국소화된 아형으로 해석하려는 그룹이 있음. </w:t>
      </w:r>
    </w:p>
    <w:p w:rsidR="009B2C8F" w:rsidRPr="009B2C8F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B2C8F" w:rsidRPr="009B2C8F">
        <w:rPr>
          <w:rFonts w:eastAsiaTheme="minorHAnsi"/>
          <w:szCs w:val="20"/>
        </w:rPr>
        <w:t xml:space="preserve">현재까지 COVID-19 백신과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</w:t>
      </w:r>
      <w:proofErr w:type="spellEnd"/>
      <w:r w:rsidR="009B2C8F" w:rsidRPr="009B2C8F">
        <w:rPr>
          <w:rFonts w:eastAsiaTheme="minorHAnsi"/>
          <w:szCs w:val="20"/>
        </w:rPr>
        <w:t xml:space="preserve"> 증후군 (또는 Parsonage-Turner 증후군)의 연관성에 대한 연구는 사례 보고 수준에 그치고 있음. 하지만, 단순히 시간적 선후관계의 존재가 ‘인과성’을 의미하지는 않음. 이러한 역학적 연관성 그리고/혹은 인과성 판단을 위해서는 대규모 역학연구가 필수적임. 따라서, 본 연구에서는 전국적인 사례 조사 (nation-wide survey) 및 건강보험 빅데이터를 통한 역학적 분석을 하고자 함. </w:t>
      </w:r>
    </w:p>
    <w:p w:rsidR="00D638D1" w:rsidRPr="009B2C8F" w:rsidRDefault="00A223A1" w:rsidP="00A223A1">
      <w:pPr>
        <w:ind w:leftChars="200"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B2C8F" w:rsidRPr="009B2C8F">
        <w:rPr>
          <w:rFonts w:eastAsiaTheme="minorHAnsi"/>
          <w:szCs w:val="20"/>
        </w:rPr>
        <w:t xml:space="preserve">또한, 만약 특정 백신과 </w:t>
      </w:r>
      <w:proofErr w:type="spellStart"/>
      <w:r w:rsidR="009B2C8F" w:rsidRPr="009B2C8F">
        <w:rPr>
          <w:rFonts w:eastAsiaTheme="minorHAnsi"/>
          <w:szCs w:val="20"/>
        </w:rPr>
        <w:t>길랭</w:t>
      </w:r>
      <w:proofErr w:type="spellEnd"/>
      <w:r w:rsidR="009B2C8F" w:rsidRPr="009B2C8F">
        <w:rPr>
          <w:rFonts w:eastAsiaTheme="minorHAnsi"/>
          <w:szCs w:val="20"/>
        </w:rPr>
        <w:t>-</w:t>
      </w:r>
      <w:proofErr w:type="spellStart"/>
      <w:r w:rsidR="009B2C8F" w:rsidRPr="009B2C8F">
        <w:rPr>
          <w:rFonts w:eastAsiaTheme="minorHAnsi"/>
          <w:szCs w:val="20"/>
        </w:rPr>
        <w:t>바레증후군</w:t>
      </w:r>
      <w:proofErr w:type="spellEnd"/>
      <w:r w:rsidR="009B2C8F" w:rsidRPr="009B2C8F">
        <w:rPr>
          <w:rFonts w:eastAsiaTheme="minorHAnsi"/>
          <w:szCs w:val="20"/>
        </w:rPr>
        <w:t xml:space="preserve"> 간 연관성이 입증된다면, 이러한 사례의 </w:t>
      </w:r>
      <w:proofErr w:type="gramStart"/>
      <w:r w:rsidR="009B2C8F" w:rsidRPr="009B2C8F">
        <w:rPr>
          <w:rFonts w:eastAsiaTheme="minorHAnsi"/>
          <w:szCs w:val="20"/>
        </w:rPr>
        <w:t>신경학적</w:t>
      </w:r>
      <w:r>
        <w:rPr>
          <w:rFonts w:eastAsiaTheme="minorHAnsi" w:hint="eastAsia"/>
          <w:szCs w:val="20"/>
        </w:rPr>
        <w:t xml:space="preserve"> </w:t>
      </w:r>
      <w:r w:rsidR="009B2C8F" w:rsidRPr="009B2C8F">
        <w:rPr>
          <w:rFonts w:eastAsiaTheme="minorHAnsi"/>
          <w:szCs w:val="20"/>
        </w:rPr>
        <w:t xml:space="preserve"> 예후</w:t>
      </w:r>
      <w:proofErr w:type="gramEnd"/>
      <w:r w:rsidR="009B2C8F" w:rsidRPr="009B2C8F">
        <w:rPr>
          <w:rFonts w:eastAsiaTheme="minorHAnsi"/>
          <w:szCs w:val="20"/>
        </w:rPr>
        <w:t xml:space="preserve"> 및 </w:t>
      </w:r>
      <w:proofErr w:type="spellStart"/>
      <w:r w:rsidR="009B2C8F" w:rsidRPr="009B2C8F">
        <w:rPr>
          <w:rFonts w:eastAsiaTheme="minorHAnsi"/>
          <w:szCs w:val="20"/>
        </w:rPr>
        <w:t>치료반응은</w:t>
      </w:r>
      <w:proofErr w:type="spellEnd"/>
      <w:r w:rsidR="009B2C8F" w:rsidRPr="009B2C8F">
        <w:rPr>
          <w:rFonts w:eastAsiaTheme="minorHAnsi"/>
          <w:szCs w:val="20"/>
        </w:rPr>
        <w:t xml:space="preserve"> 어떠한지, 어떠한 인구집단 (e.g. 연령, 성별, 특정 기저질환)이 특히 취약한지 등을 분석함으로써 의학적, 사회경제적 피해를 최소화할 수 있을 것임. </w:t>
      </w:r>
      <w:r w:rsidR="00D638D1" w:rsidRPr="009B2C8F">
        <w:rPr>
          <w:rFonts w:eastAsiaTheme="minorHAnsi" w:hint="eastAsia"/>
          <w:szCs w:val="20"/>
        </w:rPr>
        <w:t xml:space="preserve">연구의 배경이 되는 과거의 실험적, 임상적 소견을 간결하고 포괄적으로 기술하며, 관련된 논문을 인용할 수 있음. </w:t>
      </w:r>
    </w:p>
    <w:p w:rsidR="00D638D1" w:rsidRDefault="00D638D1" w:rsidP="00D638D1">
      <w:pPr>
        <w:pStyle w:val="a7"/>
        <w:numPr>
          <w:ilvl w:val="0"/>
          <w:numId w:val="7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 가설 및 목적</w:t>
      </w:r>
    </w:p>
    <w:p w:rsidR="00A223A1" w:rsidRPr="00A80D59" w:rsidRDefault="00A223A1" w:rsidP="00A223A1">
      <w:pPr>
        <w:ind w:firstLineChars="300" w:firstLine="600"/>
        <w:rPr>
          <w:rFonts w:eastAsiaTheme="minorHAnsi"/>
          <w:szCs w:val="20"/>
        </w:rPr>
      </w:pPr>
      <w:r w:rsidRPr="00A223A1">
        <w:rPr>
          <w:rFonts w:eastAsiaTheme="minorHAnsi"/>
          <w:szCs w:val="20"/>
        </w:rPr>
        <w:t xml:space="preserve">(1) </w:t>
      </w:r>
      <w:r w:rsidRPr="00A80D59">
        <w:rPr>
          <w:rFonts w:eastAsiaTheme="minorHAnsi"/>
          <w:szCs w:val="20"/>
        </w:rPr>
        <w:t xml:space="preserve">COVID-19 백신과 </w:t>
      </w:r>
      <w:proofErr w:type="spellStart"/>
      <w:r w:rsidRPr="00A80D59">
        <w:rPr>
          <w:rFonts w:eastAsiaTheme="minorHAnsi"/>
          <w:szCs w:val="20"/>
        </w:rPr>
        <w:t>길랭바레증후군의</w:t>
      </w:r>
      <w:proofErr w:type="spellEnd"/>
      <w:r w:rsidRPr="00A80D59">
        <w:rPr>
          <w:rFonts w:eastAsiaTheme="minorHAnsi"/>
          <w:szCs w:val="20"/>
        </w:rPr>
        <w:t xml:space="preserve"> 역학적 연관성을 규명한다.</w:t>
      </w:r>
    </w:p>
    <w:p w:rsidR="00A223A1" w:rsidRPr="00A80D59" w:rsidRDefault="00A223A1" w:rsidP="00A223A1">
      <w:pPr>
        <w:ind w:firstLineChars="300" w:firstLine="600"/>
        <w:rPr>
          <w:rFonts w:eastAsiaTheme="minorHAnsi"/>
          <w:szCs w:val="20"/>
        </w:rPr>
      </w:pPr>
      <w:r w:rsidRPr="00A80D59">
        <w:rPr>
          <w:rFonts w:eastAsiaTheme="minorHAnsi"/>
          <w:szCs w:val="20"/>
        </w:rPr>
        <w:lastRenderedPageBreak/>
        <w:t xml:space="preserve">(2) COVID-19 백신 접종 후 </w:t>
      </w:r>
      <w:proofErr w:type="spellStart"/>
      <w:r w:rsidRPr="00A80D59">
        <w:rPr>
          <w:rFonts w:eastAsiaTheme="minorHAnsi"/>
          <w:szCs w:val="20"/>
        </w:rPr>
        <w:t>길랭바레증후군의</w:t>
      </w:r>
      <w:proofErr w:type="spellEnd"/>
      <w:r w:rsidRPr="00A80D59">
        <w:rPr>
          <w:rFonts w:eastAsiaTheme="minorHAnsi"/>
          <w:szCs w:val="20"/>
        </w:rPr>
        <w:t xml:space="preserve"> 임상적, 병태생리학적 특징을 분석한다.  </w:t>
      </w:r>
    </w:p>
    <w:p w:rsidR="00A223A1" w:rsidRPr="00A80D59" w:rsidRDefault="00A223A1" w:rsidP="00A223A1">
      <w:pPr>
        <w:ind w:firstLineChars="300" w:firstLine="600"/>
        <w:rPr>
          <w:rFonts w:eastAsiaTheme="minorHAnsi"/>
          <w:szCs w:val="20"/>
        </w:rPr>
      </w:pPr>
      <w:r w:rsidRPr="00A80D59">
        <w:rPr>
          <w:rFonts w:eastAsiaTheme="minorHAnsi"/>
          <w:szCs w:val="20"/>
        </w:rPr>
        <w:t>(3) COVID-19 백신과 Parsonage-Turner 증후군의 역학적 연관성을 규명한다.</w:t>
      </w:r>
    </w:p>
    <w:p w:rsidR="009F36A7" w:rsidRPr="00A80D59" w:rsidRDefault="00A223A1" w:rsidP="00A80D59">
      <w:pPr>
        <w:ind w:leftChars="300" w:left="600"/>
        <w:rPr>
          <w:rFonts w:eastAsiaTheme="minorHAnsi"/>
          <w:szCs w:val="20"/>
        </w:rPr>
      </w:pPr>
      <w:r w:rsidRPr="00A80D59">
        <w:rPr>
          <w:rFonts w:eastAsiaTheme="minorHAnsi"/>
          <w:szCs w:val="20"/>
        </w:rPr>
        <w:t>(4) COVID-19 백신 접종 후 Parsonage-Turner 증후군의 임상적, 병태생리학적 특징을</w:t>
      </w:r>
      <w:r w:rsidRPr="00A80D59">
        <w:rPr>
          <w:rFonts w:eastAsiaTheme="minorHAnsi" w:hint="eastAsia"/>
          <w:szCs w:val="20"/>
        </w:rPr>
        <w:t xml:space="preserve"> </w:t>
      </w:r>
      <w:r w:rsidRPr="00A80D59">
        <w:rPr>
          <w:rFonts w:eastAsiaTheme="minorHAnsi"/>
          <w:szCs w:val="20"/>
        </w:rPr>
        <w:t>분석한다</w:t>
      </w:r>
      <w:r w:rsidRPr="00A223A1">
        <w:rPr>
          <w:rFonts w:eastAsiaTheme="minorHAnsi"/>
          <w:szCs w:val="20"/>
        </w:rPr>
        <w:t>.</w:t>
      </w:r>
    </w:p>
    <w:p w:rsidR="00D638D1" w:rsidRPr="00614E29" w:rsidRDefault="00D638D1" w:rsidP="00D638D1">
      <w:pPr>
        <w:pStyle w:val="a7"/>
        <w:numPr>
          <w:ilvl w:val="0"/>
          <w:numId w:val="6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연구대상자의 선정기준, 제외기준, 목표한 대상자 수 및 산출근거</w:t>
      </w:r>
    </w:p>
    <w:p w:rsidR="006E7D0A" w:rsidRDefault="006E7D0A" w:rsidP="006E7D0A">
      <w:pPr>
        <w:pStyle w:val="a7"/>
        <w:numPr>
          <w:ilvl w:val="0"/>
          <w:numId w:val="9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선정기준</w:t>
      </w:r>
    </w:p>
    <w:p w:rsidR="001A01D8" w:rsidRPr="001A01D8" w:rsidRDefault="001A01D8" w:rsidP="001A01D8">
      <w:pPr>
        <w:pStyle w:val="a7"/>
        <w:numPr>
          <w:ilvl w:val="0"/>
          <w:numId w:val="24"/>
        </w:numPr>
        <w:ind w:leftChars="0"/>
        <w:rPr>
          <w:rFonts w:eastAsiaTheme="minorHAnsi"/>
          <w:szCs w:val="20"/>
          <w:u w:val="single"/>
        </w:rPr>
      </w:pPr>
      <w:r w:rsidRPr="001A01D8">
        <w:rPr>
          <w:rFonts w:eastAsiaTheme="minorHAnsi"/>
          <w:szCs w:val="20"/>
          <w:u w:val="single"/>
        </w:rPr>
        <w:t xml:space="preserve"> COVID-19 유행 및 관련 백신 연관 연구 기간 신규 발생 </w:t>
      </w:r>
      <w:proofErr w:type="spellStart"/>
      <w:r w:rsidRPr="001A01D8">
        <w:rPr>
          <w:rFonts w:eastAsiaTheme="minorHAnsi"/>
          <w:szCs w:val="20"/>
          <w:u w:val="single"/>
        </w:rPr>
        <w:t>길랭</w:t>
      </w:r>
      <w:proofErr w:type="spellEnd"/>
      <w:r w:rsidRPr="001A01D8">
        <w:rPr>
          <w:rFonts w:eastAsiaTheme="minorHAnsi"/>
          <w:szCs w:val="20"/>
          <w:u w:val="single"/>
        </w:rPr>
        <w:t>-</w:t>
      </w:r>
      <w:proofErr w:type="spellStart"/>
      <w:r w:rsidRPr="001A01D8">
        <w:rPr>
          <w:rFonts w:eastAsiaTheme="minorHAnsi"/>
          <w:szCs w:val="20"/>
          <w:u w:val="single"/>
        </w:rPr>
        <w:t>바레</w:t>
      </w:r>
      <w:proofErr w:type="spellEnd"/>
      <w:r w:rsidRPr="001A01D8">
        <w:rPr>
          <w:rFonts w:eastAsiaTheme="minorHAnsi"/>
          <w:szCs w:val="20"/>
          <w:u w:val="single"/>
        </w:rPr>
        <w:t xml:space="preserve"> 증후군 정의:</w:t>
      </w:r>
    </w:p>
    <w:p w:rsidR="001A01D8" w:rsidRPr="001A01D8" w:rsidRDefault="001A01D8" w:rsidP="001A01D8">
      <w:pPr>
        <w:pStyle w:val="a7"/>
        <w:rPr>
          <w:rFonts w:eastAsiaTheme="minorHAnsi"/>
          <w:szCs w:val="20"/>
        </w:rPr>
      </w:pPr>
      <w:r w:rsidRPr="001A01D8">
        <w:rPr>
          <w:rFonts w:eastAsiaTheme="minorHAnsi" w:hint="eastAsia"/>
          <w:szCs w:val="20"/>
        </w:rPr>
        <w:t>①</w:t>
      </w:r>
      <w:r w:rsidRPr="001A01D8">
        <w:rPr>
          <w:rFonts w:eastAsiaTheme="minorHAnsi"/>
          <w:szCs w:val="20"/>
        </w:rPr>
        <w:t xml:space="preserve"> 1990년 Asbury와 </w:t>
      </w:r>
      <w:proofErr w:type="spellStart"/>
      <w:r w:rsidRPr="001A01D8">
        <w:rPr>
          <w:rFonts w:eastAsiaTheme="minorHAnsi"/>
          <w:szCs w:val="20"/>
        </w:rPr>
        <w:t>Cornblath</w:t>
      </w:r>
      <w:proofErr w:type="spellEnd"/>
      <w:r w:rsidRPr="001A01D8">
        <w:rPr>
          <w:rFonts w:eastAsiaTheme="minorHAnsi"/>
          <w:szCs w:val="20"/>
        </w:rPr>
        <w:t xml:space="preserve"> 진단 기준에 부합한 전형적 </w:t>
      </w:r>
      <w:proofErr w:type="spellStart"/>
      <w:r w:rsidRPr="001A01D8">
        <w:rPr>
          <w:rFonts w:eastAsiaTheme="minorHAnsi"/>
          <w:szCs w:val="20"/>
        </w:rPr>
        <w:t>길랭</w:t>
      </w:r>
      <w:proofErr w:type="spellEnd"/>
      <w:r w:rsidRPr="001A01D8">
        <w:rPr>
          <w:rFonts w:eastAsiaTheme="minorHAnsi"/>
          <w:szCs w:val="20"/>
        </w:rPr>
        <w:t>-</w:t>
      </w:r>
      <w:proofErr w:type="spellStart"/>
      <w:r w:rsidRPr="001A01D8">
        <w:rPr>
          <w:rFonts w:eastAsiaTheme="minorHAnsi"/>
          <w:szCs w:val="20"/>
        </w:rPr>
        <w:t>바레</w:t>
      </w:r>
      <w:proofErr w:type="spellEnd"/>
      <w:r w:rsidRPr="001A01D8">
        <w:rPr>
          <w:rFonts w:eastAsiaTheme="minorHAnsi"/>
          <w:szCs w:val="20"/>
        </w:rPr>
        <w:t xml:space="preserve"> 증후군 및 밀러-피셔 증후군 등을 포함한 </w:t>
      </w:r>
      <w:proofErr w:type="spellStart"/>
      <w:r w:rsidRPr="001A01D8">
        <w:rPr>
          <w:rFonts w:eastAsiaTheme="minorHAnsi"/>
          <w:szCs w:val="20"/>
        </w:rPr>
        <w:t>길랭</w:t>
      </w:r>
      <w:proofErr w:type="spellEnd"/>
      <w:r w:rsidRPr="001A01D8">
        <w:rPr>
          <w:rFonts w:eastAsiaTheme="minorHAnsi"/>
          <w:szCs w:val="20"/>
        </w:rPr>
        <w:t>-</w:t>
      </w:r>
      <w:proofErr w:type="spellStart"/>
      <w:r w:rsidRPr="001A01D8">
        <w:rPr>
          <w:rFonts w:eastAsiaTheme="minorHAnsi"/>
          <w:szCs w:val="20"/>
        </w:rPr>
        <w:t>바레</w:t>
      </w:r>
      <w:proofErr w:type="spellEnd"/>
      <w:r w:rsidRPr="001A01D8">
        <w:rPr>
          <w:rFonts w:eastAsiaTheme="minorHAnsi"/>
          <w:szCs w:val="20"/>
        </w:rPr>
        <w:t xml:space="preserve"> 증후군 아형</w:t>
      </w:r>
    </w:p>
    <w:p w:rsidR="001A01D8" w:rsidRPr="001A01D8" w:rsidRDefault="001A01D8" w:rsidP="006F26D5">
      <w:pPr>
        <w:ind w:leftChars="400" w:left="800"/>
        <w:rPr>
          <w:rFonts w:eastAsiaTheme="minorHAnsi"/>
          <w:szCs w:val="20"/>
        </w:rPr>
      </w:pPr>
      <w:r w:rsidRPr="001A01D8">
        <w:rPr>
          <w:rFonts w:eastAsiaTheme="minorHAnsi" w:hint="eastAsia"/>
          <w:szCs w:val="20"/>
        </w:rPr>
        <w:t>②</w:t>
      </w:r>
      <w:r w:rsidRPr="001A01D8">
        <w:rPr>
          <w:rFonts w:eastAsiaTheme="minorHAnsi"/>
          <w:szCs w:val="20"/>
        </w:rPr>
        <w:t xml:space="preserve"> 2020</w:t>
      </w:r>
      <w:r w:rsidR="007E117D">
        <w:rPr>
          <w:rFonts w:eastAsiaTheme="minorHAnsi" w:hint="eastAsia"/>
          <w:szCs w:val="20"/>
        </w:rPr>
        <w:t xml:space="preserve">년 </w:t>
      </w:r>
      <w:r w:rsidR="007E117D">
        <w:rPr>
          <w:rFonts w:eastAsiaTheme="minorHAnsi"/>
          <w:szCs w:val="20"/>
        </w:rPr>
        <w:t>2</w:t>
      </w:r>
      <w:r w:rsidR="007E117D">
        <w:rPr>
          <w:rFonts w:eastAsiaTheme="minorHAnsi" w:hint="eastAsia"/>
          <w:szCs w:val="20"/>
        </w:rPr>
        <w:t xml:space="preserve">월 </w:t>
      </w:r>
      <w:r w:rsidR="007E117D">
        <w:rPr>
          <w:rFonts w:eastAsiaTheme="minorHAnsi"/>
          <w:szCs w:val="20"/>
        </w:rPr>
        <w:t>1</w:t>
      </w:r>
      <w:r w:rsidR="007E117D">
        <w:rPr>
          <w:rFonts w:eastAsiaTheme="minorHAnsi" w:hint="eastAsia"/>
          <w:szCs w:val="20"/>
        </w:rPr>
        <w:t>일</w:t>
      </w:r>
      <w:r w:rsidRPr="001A01D8">
        <w:rPr>
          <w:rFonts w:eastAsiaTheme="minorHAnsi"/>
          <w:szCs w:val="20"/>
        </w:rPr>
        <w:t xml:space="preserve">부터 </w:t>
      </w:r>
      <w:r w:rsidR="007E117D">
        <w:rPr>
          <w:rFonts w:eastAsiaTheme="minorHAnsi"/>
          <w:szCs w:val="20"/>
        </w:rPr>
        <w:t>2022</w:t>
      </w:r>
      <w:r w:rsidR="000B2E5C">
        <w:rPr>
          <w:rFonts w:eastAsiaTheme="minorHAnsi" w:hint="eastAsia"/>
          <w:szCs w:val="20"/>
        </w:rPr>
        <w:t xml:space="preserve">년 </w:t>
      </w:r>
      <w:r w:rsidR="000B2E5C">
        <w:rPr>
          <w:rFonts w:eastAsiaTheme="minorHAnsi"/>
          <w:szCs w:val="20"/>
        </w:rPr>
        <w:t>2</w:t>
      </w:r>
      <w:r w:rsidR="000B2E5C">
        <w:rPr>
          <w:rFonts w:eastAsiaTheme="minorHAnsi" w:hint="eastAsia"/>
          <w:szCs w:val="20"/>
        </w:rPr>
        <w:t xml:space="preserve">월 </w:t>
      </w:r>
      <w:r w:rsidR="000B2E5C">
        <w:rPr>
          <w:rFonts w:eastAsiaTheme="minorHAnsi"/>
          <w:szCs w:val="20"/>
        </w:rPr>
        <w:t>28</w:t>
      </w:r>
      <w:r w:rsidR="000B2E5C">
        <w:rPr>
          <w:rFonts w:eastAsiaTheme="minorHAnsi" w:hint="eastAsia"/>
          <w:szCs w:val="20"/>
        </w:rPr>
        <w:t>일 사이</w:t>
      </w:r>
      <w:r w:rsidR="007E117D">
        <w:rPr>
          <w:rFonts w:eastAsiaTheme="minorHAnsi" w:hint="eastAsia"/>
          <w:szCs w:val="20"/>
        </w:rPr>
        <w:t xml:space="preserve"> </w:t>
      </w:r>
      <w:r w:rsidRPr="001A01D8">
        <w:rPr>
          <w:rFonts w:eastAsiaTheme="minorHAnsi"/>
          <w:szCs w:val="20"/>
        </w:rPr>
        <w:t xml:space="preserve">외래 및 입원에서 </w:t>
      </w:r>
      <w:r w:rsidR="000B2E5C">
        <w:rPr>
          <w:rFonts w:eastAsiaTheme="minorHAnsi" w:hint="eastAsia"/>
          <w:szCs w:val="20"/>
        </w:rPr>
        <w:t xml:space="preserve">상기 진단 기준에 따라 </w:t>
      </w:r>
      <w:proofErr w:type="spellStart"/>
      <w:r w:rsidRPr="001A01D8">
        <w:rPr>
          <w:rFonts w:eastAsiaTheme="minorHAnsi"/>
          <w:szCs w:val="20"/>
        </w:rPr>
        <w:t>길랭</w:t>
      </w:r>
      <w:proofErr w:type="spellEnd"/>
      <w:r w:rsidRPr="001A01D8">
        <w:rPr>
          <w:rFonts w:eastAsiaTheme="minorHAnsi"/>
          <w:szCs w:val="20"/>
        </w:rPr>
        <w:t>-</w:t>
      </w:r>
      <w:proofErr w:type="spellStart"/>
      <w:r w:rsidRPr="001A01D8">
        <w:rPr>
          <w:rFonts w:eastAsiaTheme="minorHAnsi"/>
          <w:szCs w:val="20"/>
        </w:rPr>
        <w:t>바레</w:t>
      </w:r>
      <w:proofErr w:type="spellEnd"/>
      <w:r w:rsidRPr="001A01D8">
        <w:rPr>
          <w:rFonts w:eastAsiaTheme="minorHAnsi"/>
          <w:szCs w:val="20"/>
        </w:rPr>
        <w:t xml:space="preserve"> 증후군으로 신규 진단된 환자</w:t>
      </w:r>
    </w:p>
    <w:p w:rsidR="001A01D8" w:rsidRPr="001A01D8" w:rsidRDefault="001A01D8" w:rsidP="001A01D8">
      <w:pPr>
        <w:pStyle w:val="a7"/>
        <w:rPr>
          <w:rFonts w:eastAsiaTheme="minorHAnsi"/>
          <w:szCs w:val="20"/>
        </w:rPr>
      </w:pPr>
      <w:r w:rsidRPr="001A01D8">
        <w:rPr>
          <w:rFonts w:eastAsiaTheme="minorHAnsi" w:hint="eastAsia"/>
          <w:szCs w:val="20"/>
        </w:rPr>
        <w:t>③</w:t>
      </w:r>
      <w:r w:rsidRPr="001A01D8">
        <w:rPr>
          <w:rFonts w:eastAsiaTheme="minorHAnsi"/>
          <w:szCs w:val="20"/>
        </w:rPr>
        <w:t xml:space="preserve"> ① 및 ② 기준에 따라 전국적 연구자 보고된 증례 가운데 Brighton기준 (Level 1, 2, 3)에 해당하는 환자를 데이터 모니터링 위원회에서 재검토후 최종 등록</w:t>
      </w:r>
    </w:p>
    <w:p w:rsidR="001A01D8" w:rsidRPr="001A01D8" w:rsidRDefault="001A01D8" w:rsidP="004F1357">
      <w:pPr>
        <w:pStyle w:val="a7"/>
        <w:numPr>
          <w:ilvl w:val="0"/>
          <w:numId w:val="24"/>
        </w:numPr>
        <w:ind w:leftChars="0"/>
        <w:rPr>
          <w:rFonts w:eastAsiaTheme="minorHAnsi"/>
          <w:szCs w:val="20"/>
        </w:rPr>
      </w:pPr>
      <w:r w:rsidRPr="001A01D8">
        <w:rPr>
          <w:rFonts w:eastAsiaTheme="minorHAnsi"/>
          <w:szCs w:val="20"/>
          <w:u w:val="single"/>
        </w:rPr>
        <w:t xml:space="preserve">백신 연관 </w:t>
      </w:r>
      <w:proofErr w:type="spellStart"/>
      <w:r w:rsidRPr="001A01D8">
        <w:rPr>
          <w:rFonts w:eastAsiaTheme="minorHAnsi"/>
          <w:szCs w:val="20"/>
          <w:u w:val="single"/>
        </w:rPr>
        <w:t>길랭</w:t>
      </w:r>
      <w:proofErr w:type="spellEnd"/>
      <w:r w:rsidRPr="001A01D8">
        <w:rPr>
          <w:rFonts w:eastAsiaTheme="minorHAnsi"/>
          <w:szCs w:val="20"/>
          <w:u w:val="single"/>
        </w:rPr>
        <w:t>-</w:t>
      </w:r>
      <w:proofErr w:type="spellStart"/>
      <w:r w:rsidRPr="001A01D8">
        <w:rPr>
          <w:rFonts w:eastAsiaTheme="minorHAnsi"/>
          <w:szCs w:val="20"/>
          <w:u w:val="single"/>
        </w:rPr>
        <w:t>바레</w:t>
      </w:r>
      <w:proofErr w:type="spellEnd"/>
      <w:r w:rsidRPr="001A01D8">
        <w:rPr>
          <w:rFonts w:eastAsiaTheme="minorHAnsi"/>
          <w:szCs w:val="20"/>
          <w:u w:val="single"/>
        </w:rPr>
        <w:t xml:space="preserve"> 증후군의 </w:t>
      </w:r>
      <w:proofErr w:type="gramStart"/>
      <w:r w:rsidRPr="001A01D8">
        <w:rPr>
          <w:rFonts w:eastAsiaTheme="minorHAnsi"/>
          <w:szCs w:val="20"/>
          <w:u w:val="single"/>
        </w:rPr>
        <w:t>정의</w:t>
      </w:r>
      <w:r w:rsidRPr="001A01D8">
        <w:rPr>
          <w:rFonts w:eastAsiaTheme="minorHAnsi" w:hint="eastAsia"/>
          <w:szCs w:val="20"/>
          <w:u w:val="single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 w:rsidRPr="001A01D8">
        <w:rPr>
          <w:rFonts w:eastAsiaTheme="minorHAnsi"/>
          <w:szCs w:val="20"/>
        </w:rPr>
        <w:t xml:space="preserve">①+②+③ 에 의해 </w:t>
      </w:r>
      <w:proofErr w:type="spellStart"/>
      <w:r w:rsidRPr="001A01D8">
        <w:rPr>
          <w:rFonts w:eastAsiaTheme="minorHAnsi"/>
          <w:szCs w:val="20"/>
        </w:rPr>
        <w:t>길랭</w:t>
      </w:r>
      <w:proofErr w:type="spellEnd"/>
      <w:r w:rsidRPr="001A01D8">
        <w:rPr>
          <w:rFonts w:eastAsiaTheme="minorHAnsi"/>
          <w:szCs w:val="20"/>
        </w:rPr>
        <w:t>-</w:t>
      </w:r>
      <w:proofErr w:type="spellStart"/>
      <w:r w:rsidRPr="001A01D8">
        <w:rPr>
          <w:rFonts w:eastAsiaTheme="minorHAnsi"/>
          <w:szCs w:val="20"/>
        </w:rPr>
        <w:t>바레</w:t>
      </w:r>
      <w:proofErr w:type="spellEnd"/>
      <w:r w:rsidRPr="001A01D8">
        <w:rPr>
          <w:rFonts w:eastAsiaTheme="minorHAnsi"/>
          <w:szCs w:val="20"/>
        </w:rPr>
        <w:t xml:space="preserve"> 증후군 진단에 부합하며, COVID-19 백신 접종이 발병 일자 기준 42일(6주) 이내에 있었던 경우 (Probable) 또는 84일(12주) 이내 있었던 경우 (Possible)</w:t>
      </w:r>
      <w:r w:rsidR="000B2E5C">
        <w:rPr>
          <w:rFonts w:eastAsiaTheme="minorHAnsi" w:hint="eastAsia"/>
          <w:szCs w:val="20"/>
        </w:rPr>
        <w:t>로 분류하여 정의함.</w:t>
      </w:r>
      <w:r w:rsidR="009C40A7">
        <w:rPr>
          <w:rFonts w:eastAsiaTheme="minorHAnsi"/>
          <w:szCs w:val="20"/>
        </w:rPr>
        <w:t xml:space="preserve"> </w:t>
      </w:r>
      <w:r w:rsidR="009C40A7">
        <w:rPr>
          <w:rFonts w:eastAsiaTheme="minorHAnsi" w:hint="eastAsia"/>
          <w:szCs w:val="20"/>
        </w:rPr>
        <w:t>이 때,</w:t>
      </w:r>
      <w:r w:rsidR="009C40A7">
        <w:rPr>
          <w:rFonts w:eastAsiaTheme="minorHAnsi"/>
          <w:szCs w:val="20"/>
        </w:rPr>
        <w:t xml:space="preserve"> </w:t>
      </w:r>
      <w:proofErr w:type="spellStart"/>
      <w:r w:rsidR="009C40A7" w:rsidRPr="001A01D8">
        <w:rPr>
          <w:rFonts w:eastAsiaTheme="minorHAnsi"/>
          <w:szCs w:val="20"/>
        </w:rPr>
        <w:t>길랭</w:t>
      </w:r>
      <w:proofErr w:type="spellEnd"/>
      <w:r w:rsidR="009C40A7" w:rsidRPr="001A01D8">
        <w:rPr>
          <w:rFonts w:eastAsiaTheme="minorHAnsi"/>
          <w:szCs w:val="20"/>
        </w:rPr>
        <w:t>-</w:t>
      </w:r>
      <w:proofErr w:type="spellStart"/>
      <w:r w:rsidR="009C40A7" w:rsidRPr="001A01D8">
        <w:rPr>
          <w:rFonts w:eastAsiaTheme="minorHAnsi"/>
          <w:szCs w:val="20"/>
        </w:rPr>
        <w:t>바레</w:t>
      </w:r>
      <w:proofErr w:type="spellEnd"/>
      <w:r w:rsidR="009C40A7" w:rsidRPr="001A01D8">
        <w:rPr>
          <w:rFonts w:eastAsiaTheme="minorHAnsi"/>
          <w:szCs w:val="20"/>
        </w:rPr>
        <w:t xml:space="preserve"> 증후군 발생 6주전 분명한 상부호흡기감염 또는 장염(설사) 병력이 있었던 경우는 제외함.</w:t>
      </w:r>
    </w:p>
    <w:p w:rsidR="001A01D8" w:rsidRPr="001A01D8" w:rsidRDefault="001A01D8" w:rsidP="001A01D8">
      <w:pPr>
        <w:pStyle w:val="a7"/>
        <w:numPr>
          <w:ilvl w:val="0"/>
          <w:numId w:val="24"/>
        </w:numPr>
        <w:ind w:leftChars="0"/>
        <w:rPr>
          <w:rFonts w:eastAsiaTheme="minorHAnsi"/>
          <w:szCs w:val="20"/>
          <w:u w:val="single"/>
        </w:rPr>
      </w:pPr>
      <w:r w:rsidRPr="001A01D8">
        <w:rPr>
          <w:rFonts w:eastAsiaTheme="minorHAnsi"/>
          <w:szCs w:val="20"/>
          <w:u w:val="single"/>
        </w:rPr>
        <w:t>신규 발생 Parsonage-Turner 증후군 정의</w:t>
      </w:r>
    </w:p>
    <w:p w:rsidR="001A01D8" w:rsidRPr="001A01D8" w:rsidRDefault="001A01D8" w:rsidP="0044636D">
      <w:pPr>
        <w:pStyle w:val="a7"/>
        <w:numPr>
          <w:ilvl w:val="0"/>
          <w:numId w:val="32"/>
        </w:numPr>
        <w:ind w:leftChars="0"/>
        <w:rPr>
          <w:rFonts w:eastAsiaTheme="minorHAnsi"/>
          <w:szCs w:val="20"/>
        </w:rPr>
      </w:pPr>
      <w:r w:rsidRPr="001A01D8">
        <w:rPr>
          <w:rFonts w:eastAsiaTheme="minorHAnsi"/>
          <w:szCs w:val="20"/>
        </w:rPr>
        <w:t xml:space="preserve"> ICD-10 코드 G54.5 (Parsonage-Turner 증후군 </w:t>
      </w:r>
      <w:r w:rsidR="0044636D">
        <w:rPr>
          <w:rFonts w:eastAsiaTheme="minorHAnsi"/>
          <w:szCs w:val="20"/>
        </w:rPr>
        <w:t>=</w:t>
      </w:r>
      <w:r w:rsidRPr="001A01D8">
        <w:rPr>
          <w:rFonts w:eastAsiaTheme="minorHAnsi"/>
          <w:szCs w:val="20"/>
        </w:rPr>
        <w:t xml:space="preserve">neuralgic </w:t>
      </w:r>
      <w:proofErr w:type="spellStart"/>
      <w:r w:rsidRPr="001A01D8">
        <w:rPr>
          <w:rFonts w:eastAsiaTheme="minorHAnsi"/>
          <w:szCs w:val="20"/>
        </w:rPr>
        <w:t>amyotrophy</w:t>
      </w:r>
      <w:proofErr w:type="spellEnd"/>
      <w:r w:rsidRPr="001A01D8">
        <w:rPr>
          <w:rFonts w:eastAsiaTheme="minorHAnsi"/>
          <w:szCs w:val="20"/>
        </w:rPr>
        <w:t xml:space="preserve">, </w:t>
      </w:r>
      <w:r w:rsidR="0044636D">
        <w:rPr>
          <w:rFonts w:eastAsiaTheme="minorHAnsi"/>
          <w:szCs w:val="20"/>
        </w:rPr>
        <w:t>=</w:t>
      </w:r>
      <w:r w:rsidRPr="001A01D8">
        <w:rPr>
          <w:rFonts w:eastAsiaTheme="minorHAnsi"/>
          <w:szCs w:val="20"/>
        </w:rPr>
        <w:t xml:space="preserve">Shoulder-girdle neuritis, </w:t>
      </w:r>
      <w:r w:rsidR="0044636D">
        <w:rPr>
          <w:rFonts w:eastAsiaTheme="minorHAnsi"/>
          <w:szCs w:val="20"/>
        </w:rPr>
        <w:t>=</w:t>
      </w:r>
      <w:r w:rsidRPr="001A01D8">
        <w:rPr>
          <w:rFonts w:eastAsiaTheme="minorHAnsi"/>
          <w:szCs w:val="20"/>
        </w:rPr>
        <w:t>Brachial neuritis) 진단에 해당하는 자</w:t>
      </w:r>
    </w:p>
    <w:p w:rsidR="001A01D8" w:rsidRPr="001A01D8" w:rsidRDefault="001A01D8" w:rsidP="0044636D">
      <w:pPr>
        <w:pStyle w:val="a7"/>
        <w:numPr>
          <w:ilvl w:val="0"/>
          <w:numId w:val="32"/>
        </w:numPr>
        <w:ind w:leftChars="0"/>
        <w:rPr>
          <w:rFonts w:eastAsiaTheme="minorHAnsi"/>
          <w:szCs w:val="20"/>
        </w:rPr>
      </w:pPr>
      <w:r w:rsidRPr="001A01D8">
        <w:rPr>
          <w:rFonts w:eastAsiaTheme="minorHAnsi"/>
          <w:szCs w:val="20"/>
        </w:rPr>
        <w:t xml:space="preserve"> </w:t>
      </w:r>
      <w:r w:rsidR="0044636D" w:rsidRPr="001A01D8">
        <w:rPr>
          <w:rFonts w:eastAsiaTheme="minorHAnsi"/>
          <w:szCs w:val="20"/>
        </w:rPr>
        <w:t>2020</w:t>
      </w:r>
      <w:r w:rsidR="0044636D">
        <w:rPr>
          <w:rFonts w:eastAsiaTheme="minorHAnsi" w:hint="eastAsia"/>
          <w:szCs w:val="20"/>
        </w:rPr>
        <w:t xml:space="preserve">년 </w:t>
      </w:r>
      <w:r w:rsidR="0044636D">
        <w:rPr>
          <w:rFonts w:eastAsiaTheme="minorHAnsi"/>
          <w:szCs w:val="20"/>
        </w:rPr>
        <w:t>2</w:t>
      </w:r>
      <w:r w:rsidR="0044636D">
        <w:rPr>
          <w:rFonts w:eastAsiaTheme="minorHAnsi" w:hint="eastAsia"/>
          <w:szCs w:val="20"/>
        </w:rPr>
        <w:t xml:space="preserve">월 </w:t>
      </w:r>
      <w:r w:rsidR="0044636D">
        <w:rPr>
          <w:rFonts w:eastAsiaTheme="minorHAnsi"/>
          <w:szCs w:val="20"/>
        </w:rPr>
        <w:t>1</w:t>
      </w:r>
      <w:r w:rsidR="0044636D">
        <w:rPr>
          <w:rFonts w:eastAsiaTheme="minorHAnsi" w:hint="eastAsia"/>
          <w:szCs w:val="20"/>
        </w:rPr>
        <w:t>일</w:t>
      </w:r>
      <w:r w:rsidR="0044636D" w:rsidRPr="001A01D8">
        <w:rPr>
          <w:rFonts w:eastAsiaTheme="minorHAnsi"/>
          <w:szCs w:val="20"/>
        </w:rPr>
        <w:t xml:space="preserve">부터 </w:t>
      </w:r>
      <w:r w:rsidR="0044636D">
        <w:rPr>
          <w:rFonts w:eastAsiaTheme="minorHAnsi"/>
          <w:szCs w:val="20"/>
        </w:rPr>
        <w:t>2022</w:t>
      </w:r>
      <w:r w:rsidR="0044636D">
        <w:rPr>
          <w:rFonts w:eastAsiaTheme="minorHAnsi" w:hint="eastAsia"/>
          <w:szCs w:val="20"/>
        </w:rPr>
        <w:t xml:space="preserve">년 </w:t>
      </w:r>
      <w:r w:rsidR="0044636D">
        <w:rPr>
          <w:rFonts w:eastAsiaTheme="minorHAnsi"/>
          <w:szCs w:val="20"/>
        </w:rPr>
        <w:t>2</w:t>
      </w:r>
      <w:r w:rsidR="0044636D">
        <w:rPr>
          <w:rFonts w:eastAsiaTheme="minorHAnsi" w:hint="eastAsia"/>
          <w:szCs w:val="20"/>
        </w:rPr>
        <w:t xml:space="preserve">월 </w:t>
      </w:r>
      <w:r w:rsidR="0044636D">
        <w:rPr>
          <w:rFonts w:eastAsiaTheme="minorHAnsi"/>
          <w:szCs w:val="20"/>
        </w:rPr>
        <w:t>28</w:t>
      </w:r>
      <w:r w:rsidR="0044636D">
        <w:rPr>
          <w:rFonts w:eastAsiaTheme="minorHAnsi" w:hint="eastAsia"/>
          <w:szCs w:val="20"/>
        </w:rPr>
        <w:t xml:space="preserve">일 사이 </w:t>
      </w:r>
      <w:r w:rsidRPr="001A01D8">
        <w:rPr>
          <w:rFonts w:eastAsiaTheme="minorHAnsi"/>
          <w:szCs w:val="20"/>
        </w:rPr>
        <w:t>외래 및 입원에서 Parsonage-Turner 증후군으로 신규 진단된 환자</w:t>
      </w:r>
    </w:p>
    <w:p w:rsidR="001A01D8" w:rsidRPr="001A01D8" w:rsidRDefault="001A01D8" w:rsidP="001A01D8">
      <w:pPr>
        <w:pStyle w:val="a7"/>
        <w:rPr>
          <w:rFonts w:eastAsiaTheme="minorHAnsi"/>
          <w:szCs w:val="20"/>
        </w:rPr>
      </w:pPr>
      <w:r w:rsidRPr="001A01D8">
        <w:rPr>
          <w:rFonts w:eastAsiaTheme="minorHAnsi" w:hint="eastAsia"/>
          <w:szCs w:val="20"/>
        </w:rPr>
        <w:t>③</w:t>
      </w:r>
      <w:r w:rsidRPr="001A01D8">
        <w:rPr>
          <w:rFonts w:eastAsiaTheme="minorHAnsi"/>
          <w:szCs w:val="20"/>
        </w:rPr>
        <w:t xml:space="preserve"> Parsonage-Turner 증후군의 역학 연구에 적합한 진단 등록 기준에 대해 임상전문가 및 역학 전문가 구성 패널 토의를 통한 등록 기준 선정하고 이를 기준으로 ① 및 ② 기</w:t>
      </w:r>
      <w:r w:rsidRPr="001A01D8">
        <w:rPr>
          <w:rFonts w:eastAsiaTheme="minorHAnsi"/>
          <w:szCs w:val="20"/>
        </w:rPr>
        <w:lastRenderedPageBreak/>
        <w:t>준에 따라 전국적 연구자 보고된 증례 자료 재검토 및 최종 등록</w:t>
      </w:r>
    </w:p>
    <w:p w:rsidR="00A223A1" w:rsidRPr="001A01D8" w:rsidRDefault="001A01D8" w:rsidP="001A01D8">
      <w:pPr>
        <w:pStyle w:val="a7"/>
        <w:numPr>
          <w:ilvl w:val="0"/>
          <w:numId w:val="24"/>
        </w:numPr>
        <w:ind w:leftChars="0"/>
        <w:rPr>
          <w:rFonts w:eastAsiaTheme="minorHAnsi"/>
          <w:szCs w:val="20"/>
        </w:rPr>
      </w:pPr>
      <w:r w:rsidRPr="001A01D8">
        <w:rPr>
          <w:rFonts w:eastAsiaTheme="minorHAnsi"/>
          <w:szCs w:val="20"/>
          <w:u w:val="single"/>
        </w:rPr>
        <w:t xml:space="preserve"> 백신 연관 Parsonage-Turner 증후군 정의:</w:t>
      </w:r>
      <w:r w:rsidRPr="001A01D8">
        <w:rPr>
          <w:rFonts w:eastAsiaTheme="minorHAnsi"/>
          <w:szCs w:val="20"/>
        </w:rPr>
        <w:t xml:space="preserve"> Parsonage-Turner 증후군 진단에 부합하며, COVID-19 백신 접종이 발병 일자 기준 42일(6주) 이내에 있었던 경우 (Probable) 또는 84일(12주) 이내 있었던 경우 (Possible)</w:t>
      </w:r>
    </w:p>
    <w:p w:rsidR="006E7D0A" w:rsidRDefault="006E7D0A" w:rsidP="006E7D0A">
      <w:pPr>
        <w:pStyle w:val="a7"/>
        <w:numPr>
          <w:ilvl w:val="0"/>
          <w:numId w:val="9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제외기준</w:t>
      </w:r>
    </w:p>
    <w:p w:rsidR="001A01D8" w:rsidRPr="004F1357" w:rsidRDefault="001A01D8" w:rsidP="004F1357">
      <w:pPr>
        <w:pStyle w:val="a7"/>
        <w:ind w:leftChars="0" w:left="826"/>
        <w:rPr>
          <w:rFonts w:eastAsiaTheme="minorHAnsi"/>
          <w:szCs w:val="20"/>
        </w:rPr>
      </w:pPr>
      <w:r>
        <w:rPr>
          <w:rFonts w:eastAsiaTheme="minorHAnsi"/>
          <w:szCs w:val="20"/>
        </w:rPr>
        <w:t>:</w:t>
      </w:r>
      <w:r w:rsidRPr="001A01D8">
        <w:rPr>
          <w:rFonts w:eastAsiaTheme="minorHAnsi"/>
          <w:szCs w:val="20"/>
        </w:rPr>
        <w:t xml:space="preserve"> </w:t>
      </w:r>
      <w:r w:rsidR="006D3D44" w:rsidRPr="006D3D44">
        <w:rPr>
          <w:rFonts w:eastAsiaTheme="minorHAnsi" w:hint="eastAsia"/>
          <w:szCs w:val="20"/>
        </w:rPr>
        <w:t xml:space="preserve">연구 기간 이전 </w:t>
      </w:r>
      <w:proofErr w:type="spellStart"/>
      <w:r w:rsidR="006D3D44" w:rsidRPr="006D3D44">
        <w:rPr>
          <w:rFonts w:eastAsiaTheme="minorHAnsi" w:hint="eastAsia"/>
          <w:szCs w:val="20"/>
        </w:rPr>
        <w:t>길랭</w:t>
      </w:r>
      <w:proofErr w:type="spellEnd"/>
      <w:r w:rsidR="006D3D44" w:rsidRPr="006D3D44">
        <w:rPr>
          <w:rFonts w:eastAsiaTheme="minorHAnsi" w:hint="eastAsia"/>
          <w:szCs w:val="20"/>
        </w:rPr>
        <w:t>-</w:t>
      </w:r>
      <w:proofErr w:type="spellStart"/>
      <w:r w:rsidR="006D3D44" w:rsidRPr="006D3D44">
        <w:rPr>
          <w:rFonts w:eastAsiaTheme="minorHAnsi" w:hint="eastAsia"/>
          <w:szCs w:val="20"/>
        </w:rPr>
        <w:t>바레</w:t>
      </w:r>
      <w:proofErr w:type="spellEnd"/>
      <w:r w:rsidR="006D3D44" w:rsidRPr="006D3D44">
        <w:rPr>
          <w:rFonts w:eastAsiaTheme="minorHAnsi" w:hint="eastAsia"/>
          <w:szCs w:val="20"/>
        </w:rPr>
        <w:t xml:space="preserve"> 증후군, 만성탈수초성 다발신경병증, </w:t>
      </w:r>
      <w:r w:rsidR="006D3D44" w:rsidRPr="006D3D44">
        <w:rPr>
          <w:rFonts w:eastAsiaTheme="minorHAnsi"/>
          <w:szCs w:val="20"/>
        </w:rPr>
        <w:t>Parsonage-Turner 증후군</w:t>
      </w:r>
      <w:r w:rsidR="006D3D44" w:rsidRPr="006D3D44">
        <w:rPr>
          <w:rFonts w:eastAsiaTheme="minorHAnsi" w:hint="eastAsia"/>
          <w:szCs w:val="20"/>
        </w:rPr>
        <w:t xml:space="preserve"> 등 </w:t>
      </w:r>
      <w:proofErr w:type="spellStart"/>
      <w:r w:rsidR="006D3D44" w:rsidRPr="006D3D44">
        <w:rPr>
          <w:rFonts w:eastAsiaTheme="minorHAnsi" w:hint="eastAsia"/>
          <w:szCs w:val="20"/>
        </w:rPr>
        <w:t>염증성</w:t>
      </w:r>
      <w:proofErr w:type="spellEnd"/>
      <w:r w:rsidR="006D3D44" w:rsidRPr="006D3D44">
        <w:rPr>
          <w:rFonts w:eastAsiaTheme="minorHAnsi" w:hint="eastAsia"/>
          <w:szCs w:val="20"/>
        </w:rPr>
        <w:t xml:space="preserve"> 신경병증으로 진단된 적 있는 환자</w:t>
      </w:r>
      <w:r w:rsidR="006D3D44">
        <w:rPr>
          <w:rFonts w:eastAsiaTheme="minorHAnsi" w:hint="eastAsia"/>
          <w:szCs w:val="20"/>
        </w:rPr>
        <w:t xml:space="preserve"> </w:t>
      </w:r>
    </w:p>
    <w:p w:rsidR="006E7D0A" w:rsidRDefault="006E7D0A" w:rsidP="006E7D0A">
      <w:pPr>
        <w:pStyle w:val="a7"/>
        <w:numPr>
          <w:ilvl w:val="0"/>
          <w:numId w:val="9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>목표</w:t>
      </w:r>
      <w:r w:rsidR="00DB14D9" w:rsidRPr="00614E29">
        <w:rPr>
          <w:rFonts w:eastAsiaTheme="minorHAnsi" w:hint="eastAsia"/>
          <w:b/>
          <w:szCs w:val="20"/>
        </w:rPr>
        <w:t>한</w:t>
      </w:r>
      <w:r w:rsidRPr="00614E29">
        <w:rPr>
          <w:rFonts w:eastAsiaTheme="minorHAnsi" w:hint="eastAsia"/>
          <w:b/>
          <w:szCs w:val="20"/>
        </w:rPr>
        <w:t xml:space="preserve"> 대상자 수 및 산출근거</w:t>
      </w:r>
    </w:p>
    <w:p w:rsidR="001A01D8" w:rsidRPr="00E047C1" w:rsidRDefault="0058381F" w:rsidP="0058381F">
      <w:pPr>
        <w:pStyle w:val="a7"/>
        <w:numPr>
          <w:ilvl w:val="0"/>
          <w:numId w:val="25"/>
        </w:numPr>
        <w:ind w:leftChars="0"/>
        <w:rPr>
          <w:rFonts w:eastAsiaTheme="minorHAnsi"/>
          <w:b/>
          <w:szCs w:val="20"/>
        </w:rPr>
      </w:pPr>
      <w:r>
        <w:rPr>
          <w:rFonts w:cs="Arial" w:hint="eastAsia"/>
        </w:rPr>
        <w:t xml:space="preserve">한국인을 대상으로 </w:t>
      </w:r>
      <w:proofErr w:type="spellStart"/>
      <w:r w:rsidR="001A01D8" w:rsidRPr="0048377B">
        <w:rPr>
          <w:rFonts w:cs="Arial" w:hint="eastAsia"/>
        </w:rPr>
        <w:t>길랭</w:t>
      </w:r>
      <w:proofErr w:type="spellEnd"/>
      <w:r w:rsidR="001A01D8" w:rsidRPr="0048377B">
        <w:rPr>
          <w:rFonts w:cs="Arial"/>
        </w:rPr>
        <w:t>-</w:t>
      </w:r>
      <w:proofErr w:type="spellStart"/>
      <w:r w:rsidR="001A01D8" w:rsidRPr="0048377B">
        <w:rPr>
          <w:rFonts w:cs="Arial" w:hint="eastAsia"/>
        </w:rPr>
        <w:t>바레</w:t>
      </w:r>
      <w:proofErr w:type="spellEnd"/>
      <w:r w:rsidR="001A01D8" w:rsidRPr="0048377B">
        <w:rPr>
          <w:rFonts w:cs="Arial" w:hint="eastAsia"/>
        </w:rPr>
        <w:t xml:space="preserve"> 증후군</w:t>
      </w:r>
      <w:r>
        <w:rPr>
          <w:rFonts w:cs="Arial" w:hint="eastAsia"/>
        </w:rPr>
        <w:t xml:space="preserve"> </w:t>
      </w:r>
      <w:r w:rsidR="001A01D8" w:rsidRPr="0048377B">
        <w:rPr>
          <w:rFonts w:cs="Arial" w:hint="eastAsia"/>
        </w:rPr>
        <w:t>I</w:t>
      </w:r>
      <w:r w:rsidR="001A01D8" w:rsidRPr="0048377B">
        <w:rPr>
          <w:rFonts w:cs="Arial"/>
        </w:rPr>
        <w:t xml:space="preserve">ncidence </w:t>
      </w:r>
      <w:r>
        <w:rPr>
          <w:rFonts w:cs="Arial" w:hint="eastAsia"/>
        </w:rPr>
        <w:t xml:space="preserve">를 조사했을 </w:t>
      </w:r>
      <w:r w:rsidR="00D50E58">
        <w:rPr>
          <w:rFonts w:cs="Arial" w:hint="eastAsia"/>
        </w:rPr>
        <w:t>때</w:t>
      </w:r>
      <w:r w:rsidR="00D50E58">
        <w:rPr>
          <w:rFonts w:cs="Arial"/>
        </w:rPr>
        <w:t xml:space="preserve"> </w:t>
      </w:r>
      <w:r w:rsidR="00D50E58" w:rsidRPr="0048377B">
        <w:rPr>
          <w:rFonts w:cs="Arial"/>
        </w:rPr>
        <w:t>2016</w:t>
      </w:r>
      <w:r w:rsidR="001A01D8" w:rsidRPr="0048377B">
        <w:rPr>
          <w:rFonts w:cs="Arial" w:hint="eastAsia"/>
        </w:rPr>
        <w:t>년 역학조</w:t>
      </w:r>
      <w:r w:rsidR="001A01D8">
        <w:rPr>
          <w:rFonts w:cs="Arial" w:hint="eastAsia"/>
        </w:rPr>
        <w:t>사</w:t>
      </w:r>
      <w:r w:rsidR="001A01D8" w:rsidRPr="0048377B">
        <w:rPr>
          <w:rFonts w:cs="Arial" w:hint="eastAsia"/>
        </w:rPr>
        <w:t xml:space="preserve"> 기준 약</w:t>
      </w:r>
      <w:r w:rsidR="001A01D8">
        <w:rPr>
          <w:rFonts w:cs="Arial" w:hint="eastAsia"/>
        </w:rPr>
        <w:t xml:space="preserve"> </w:t>
      </w:r>
      <w:r w:rsidR="001A01D8" w:rsidRPr="0048377B">
        <w:rPr>
          <w:rFonts w:cs="Arial"/>
        </w:rPr>
        <w:t>941</w:t>
      </w:r>
      <w:r w:rsidR="001A01D8" w:rsidRPr="0048377B">
        <w:rPr>
          <w:rFonts w:cs="Arial" w:hint="eastAsia"/>
        </w:rPr>
        <w:t>명임.</w:t>
      </w:r>
      <w:r w:rsidR="001A01D8" w:rsidRPr="0048377B">
        <w:rPr>
          <w:rFonts w:cs="Arial"/>
        </w:rPr>
        <w:t xml:space="preserve"> 2020</w:t>
      </w:r>
      <w:r w:rsidR="001A01D8" w:rsidRPr="0048377B">
        <w:rPr>
          <w:rFonts w:cs="Arial" w:hint="eastAsia"/>
        </w:rPr>
        <w:t xml:space="preserve">년부터 현재까지 대략 </w:t>
      </w:r>
      <w:r w:rsidR="001A01D8" w:rsidRPr="0048377B">
        <w:rPr>
          <w:rFonts w:cs="Arial"/>
        </w:rPr>
        <w:t>2000</w:t>
      </w:r>
      <w:r w:rsidR="001A01D8" w:rsidRPr="0048377B">
        <w:rPr>
          <w:rFonts w:cs="Arial" w:hint="eastAsia"/>
        </w:rPr>
        <w:t xml:space="preserve">명의 </w:t>
      </w:r>
      <w:proofErr w:type="spellStart"/>
      <w:r w:rsidR="001A01D8" w:rsidRPr="0048377B">
        <w:rPr>
          <w:rFonts w:cs="Arial" w:hint="eastAsia"/>
        </w:rPr>
        <w:t>길랑</w:t>
      </w:r>
      <w:proofErr w:type="spellEnd"/>
      <w:r w:rsidR="001A01D8" w:rsidRPr="0048377B">
        <w:rPr>
          <w:rFonts w:cs="Arial" w:hint="eastAsia"/>
        </w:rPr>
        <w:t xml:space="preserve">-바레증후군의 </w:t>
      </w:r>
      <w:r w:rsidR="001A01D8" w:rsidRPr="0048377B">
        <w:rPr>
          <w:rFonts w:cs="Arial"/>
        </w:rPr>
        <w:t xml:space="preserve">10% </w:t>
      </w:r>
      <w:r w:rsidR="001A01D8" w:rsidRPr="0048377B">
        <w:rPr>
          <w:rFonts w:cs="Arial" w:hint="eastAsia"/>
        </w:rPr>
        <w:t>내외</w:t>
      </w:r>
      <w:r>
        <w:rPr>
          <w:rFonts w:cs="Arial"/>
        </w:rPr>
        <w:t>인 200</w:t>
      </w:r>
      <w:r>
        <w:rPr>
          <w:rFonts w:cs="Arial" w:hint="eastAsia"/>
        </w:rPr>
        <w:t>명을</w:t>
      </w:r>
      <w:r w:rsidR="001A01D8" w:rsidRPr="0048377B">
        <w:rPr>
          <w:rFonts w:cs="Arial" w:hint="eastAsia"/>
        </w:rPr>
        <w:t xml:space="preserve"> 연구대상자로 추정</w:t>
      </w:r>
      <w:r w:rsidR="00D5100F">
        <w:rPr>
          <w:rFonts w:cs="Arial" w:hint="eastAsia"/>
        </w:rPr>
        <w:t xml:space="preserve"> </w:t>
      </w:r>
      <w:r w:rsidR="008B73D8">
        <w:rPr>
          <w:rFonts w:cs="Arial"/>
        </w:rPr>
        <w:t>(</w:t>
      </w:r>
      <w:proofErr w:type="spellStart"/>
      <w:r w:rsidR="008B73D8">
        <w:rPr>
          <w:rFonts w:cs="Arial" w:hint="eastAsia"/>
        </w:rPr>
        <w:t>길랭</w:t>
      </w:r>
      <w:proofErr w:type="spellEnd"/>
      <w:r w:rsidR="008B73D8">
        <w:rPr>
          <w:rFonts w:cs="Arial" w:hint="eastAsia"/>
        </w:rPr>
        <w:t>-</w:t>
      </w:r>
      <w:proofErr w:type="spellStart"/>
      <w:proofErr w:type="gramStart"/>
      <w:r w:rsidR="008B73D8">
        <w:rPr>
          <w:rFonts w:cs="Arial" w:hint="eastAsia"/>
        </w:rPr>
        <w:t>바레증후군</w:t>
      </w:r>
      <w:proofErr w:type="spellEnd"/>
      <w:r w:rsidR="008B73D8">
        <w:rPr>
          <w:rFonts w:cs="Arial" w:hint="eastAsia"/>
        </w:rPr>
        <w:t xml:space="preserve"> :</w:t>
      </w:r>
      <w:proofErr w:type="gramEnd"/>
      <w:r w:rsidR="008B73D8">
        <w:rPr>
          <w:rFonts w:cs="Arial"/>
        </w:rPr>
        <w:t xml:space="preserve"> 200</w:t>
      </w:r>
      <w:r w:rsidR="008B73D8">
        <w:rPr>
          <w:rFonts w:cs="Arial" w:hint="eastAsia"/>
        </w:rPr>
        <w:t>명)</w:t>
      </w:r>
    </w:p>
    <w:p w:rsidR="00E047C1" w:rsidRPr="0058381F" w:rsidRDefault="00E047C1" w:rsidP="0058381F">
      <w:pPr>
        <w:pStyle w:val="a7"/>
        <w:numPr>
          <w:ilvl w:val="0"/>
          <w:numId w:val="25"/>
        </w:numPr>
        <w:ind w:leftChars="0"/>
        <w:rPr>
          <w:rFonts w:eastAsiaTheme="minorHAnsi"/>
          <w:b/>
          <w:szCs w:val="20"/>
        </w:rPr>
      </w:pPr>
      <w:r w:rsidRPr="00352AB2">
        <w:rPr>
          <w:rFonts w:hint="eastAsia"/>
          <w:szCs w:val="20"/>
        </w:rPr>
        <w:t xml:space="preserve">본 연구의 책임자는 최근 세개의 기관이 공동으로 </w:t>
      </w:r>
      <w:r w:rsidRPr="00352AB2">
        <w:rPr>
          <w:szCs w:val="20"/>
        </w:rPr>
        <w:t>2021</w:t>
      </w:r>
      <w:r w:rsidRPr="00352AB2">
        <w:rPr>
          <w:rFonts w:hint="eastAsia"/>
          <w:szCs w:val="20"/>
        </w:rPr>
        <w:t xml:space="preserve">년 </w:t>
      </w:r>
      <w:r w:rsidRPr="00352AB2">
        <w:rPr>
          <w:szCs w:val="20"/>
        </w:rPr>
        <w:t>6</w:t>
      </w:r>
      <w:r w:rsidRPr="00352AB2">
        <w:rPr>
          <w:rFonts w:hint="eastAsia"/>
          <w:szCs w:val="20"/>
        </w:rPr>
        <w:t xml:space="preserve">월부터 </w:t>
      </w:r>
      <w:r w:rsidRPr="00352AB2">
        <w:rPr>
          <w:szCs w:val="20"/>
        </w:rPr>
        <w:t>10</w:t>
      </w:r>
      <w:r w:rsidRPr="00352AB2">
        <w:rPr>
          <w:rFonts w:hint="eastAsia"/>
          <w:szCs w:val="20"/>
        </w:rPr>
        <w:t xml:space="preserve">월까지 </w:t>
      </w:r>
      <w:proofErr w:type="gramStart"/>
      <w:r w:rsidRPr="00352AB2">
        <w:rPr>
          <w:rFonts w:hint="eastAsia"/>
          <w:szCs w:val="20"/>
        </w:rPr>
        <w:t xml:space="preserve">발생한  </w:t>
      </w:r>
      <w:r w:rsidRPr="00352AB2">
        <w:rPr>
          <w:szCs w:val="20"/>
        </w:rPr>
        <w:t>COVID</w:t>
      </w:r>
      <w:proofErr w:type="gramEnd"/>
      <w:r w:rsidRPr="00352AB2">
        <w:rPr>
          <w:szCs w:val="20"/>
        </w:rPr>
        <w:t xml:space="preserve">-19 vaccination </w:t>
      </w:r>
      <w:r w:rsidRPr="00352AB2">
        <w:rPr>
          <w:rFonts w:hint="eastAsia"/>
          <w:szCs w:val="20"/>
        </w:rPr>
        <w:t xml:space="preserve">연관 </w:t>
      </w:r>
      <w:r w:rsidRPr="00352AB2">
        <w:rPr>
          <w:szCs w:val="20"/>
        </w:rPr>
        <w:t xml:space="preserve">Parsonage-Turner syndrome </w:t>
      </w:r>
      <w:r w:rsidRPr="00352AB2">
        <w:rPr>
          <w:rFonts w:hint="eastAsia"/>
          <w:szCs w:val="20"/>
        </w:rPr>
        <w:t xml:space="preserve">의 케이스를 </w:t>
      </w:r>
      <w:r w:rsidRPr="00352AB2">
        <w:rPr>
          <w:szCs w:val="20"/>
        </w:rPr>
        <w:t>12</w:t>
      </w:r>
      <w:r w:rsidRPr="00352AB2">
        <w:rPr>
          <w:rFonts w:hint="eastAsia"/>
          <w:szCs w:val="20"/>
        </w:rPr>
        <w:t>건 확인하여 발표하였다.</w:t>
      </w:r>
      <w:r w:rsidRPr="00352AB2">
        <w:rPr>
          <w:szCs w:val="20"/>
        </w:rPr>
        <w:t xml:space="preserve"> </w:t>
      </w:r>
      <w:r w:rsidRPr="00352AB2">
        <w:rPr>
          <w:rFonts w:hint="eastAsia"/>
          <w:szCs w:val="20"/>
        </w:rPr>
        <w:t xml:space="preserve">연구의 기간을 산정하여 동일한 비율을 적용하되 </w:t>
      </w:r>
      <w:proofErr w:type="spellStart"/>
      <w:r w:rsidRPr="00352AB2">
        <w:rPr>
          <w:rFonts w:hint="eastAsia"/>
          <w:szCs w:val="20"/>
        </w:rPr>
        <w:t>다기관이</w:t>
      </w:r>
      <w:proofErr w:type="spellEnd"/>
      <w:r w:rsidRPr="00352AB2">
        <w:rPr>
          <w:rFonts w:hint="eastAsia"/>
          <w:szCs w:val="20"/>
        </w:rPr>
        <w:t xml:space="preserve"> 참여할 예정으로 </w:t>
      </w:r>
      <w:r w:rsidRPr="00352AB2">
        <w:rPr>
          <w:szCs w:val="20"/>
        </w:rPr>
        <w:t>1.5</w:t>
      </w:r>
      <w:r w:rsidRPr="00352AB2">
        <w:rPr>
          <w:rFonts w:hint="eastAsia"/>
          <w:szCs w:val="20"/>
        </w:rPr>
        <w:t xml:space="preserve">배의 </w:t>
      </w:r>
      <w:r w:rsidRPr="00352AB2">
        <w:rPr>
          <w:szCs w:val="20"/>
        </w:rPr>
        <w:t xml:space="preserve">incidence </w:t>
      </w:r>
      <w:r w:rsidRPr="00352AB2">
        <w:rPr>
          <w:rFonts w:hint="eastAsia"/>
          <w:szCs w:val="20"/>
        </w:rPr>
        <w:t xml:space="preserve">를 예상하여 </w:t>
      </w:r>
      <w:r w:rsidRPr="00352AB2">
        <w:rPr>
          <w:szCs w:val="20"/>
        </w:rPr>
        <w:t>100</w:t>
      </w:r>
      <w:r w:rsidRPr="00352AB2">
        <w:rPr>
          <w:rFonts w:hint="eastAsia"/>
          <w:szCs w:val="20"/>
        </w:rPr>
        <w:t>명을 연구대상자로 추정</w:t>
      </w:r>
      <w:r w:rsidR="008B73D8">
        <w:rPr>
          <w:rFonts w:hint="eastAsia"/>
          <w:szCs w:val="20"/>
        </w:rPr>
        <w:t xml:space="preserve">  (</w:t>
      </w:r>
      <w:r w:rsidR="008B73D8" w:rsidRPr="00352AB2">
        <w:rPr>
          <w:szCs w:val="20"/>
        </w:rPr>
        <w:t>Parsonage-Turner syndrome</w:t>
      </w:r>
      <w:r w:rsidR="008B73D8">
        <w:rPr>
          <w:szCs w:val="20"/>
        </w:rPr>
        <w:t>: 100</w:t>
      </w:r>
      <w:r w:rsidR="008B73D8">
        <w:rPr>
          <w:rFonts w:hint="eastAsia"/>
          <w:szCs w:val="20"/>
        </w:rPr>
        <w:t>명)</w:t>
      </w:r>
    </w:p>
    <w:p w:rsidR="00D638D1" w:rsidRPr="00614E29" w:rsidRDefault="00D638D1" w:rsidP="00D638D1">
      <w:pPr>
        <w:pStyle w:val="a7"/>
        <w:numPr>
          <w:ilvl w:val="0"/>
          <w:numId w:val="6"/>
        </w:numPr>
        <w:ind w:leftChars="0"/>
        <w:rPr>
          <w:rFonts w:eastAsiaTheme="minorHAnsi"/>
          <w:b/>
          <w:szCs w:val="20"/>
        </w:rPr>
      </w:pPr>
      <w:r w:rsidRPr="00614E29">
        <w:rPr>
          <w:rFonts w:eastAsiaTheme="minorHAnsi" w:hint="eastAsia"/>
          <w:b/>
          <w:szCs w:val="20"/>
        </w:rPr>
        <w:t xml:space="preserve">예상연구기간 </w:t>
      </w:r>
    </w:p>
    <w:p w:rsidR="006E7D0A" w:rsidRPr="00614E29" w:rsidRDefault="006E7D0A" w:rsidP="00D638D1">
      <w:pPr>
        <w:pStyle w:val="a7"/>
        <w:ind w:leftChars="0" w:left="400"/>
        <w:rPr>
          <w:rFonts w:eastAsiaTheme="minorHAnsi"/>
          <w:i/>
          <w:color w:val="808080" w:themeColor="background1" w:themeShade="80"/>
          <w:szCs w:val="20"/>
        </w:rPr>
      </w:pPr>
      <w:r w:rsidRPr="00614E29">
        <w:rPr>
          <w:rFonts w:eastAsiaTheme="minorHAnsi" w:hint="eastAsia"/>
          <w:szCs w:val="20"/>
        </w:rPr>
        <w:t xml:space="preserve">: </w:t>
      </w:r>
      <w:r w:rsidR="00D638D1" w:rsidRPr="00614E29">
        <w:rPr>
          <w:rFonts w:eastAsiaTheme="minorHAnsi" w:hint="eastAsia"/>
          <w:szCs w:val="20"/>
        </w:rPr>
        <w:t>IRB 승인일~</w:t>
      </w:r>
      <w:r w:rsidR="00463B27">
        <w:rPr>
          <w:rFonts w:eastAsiaTheme="minorHAnsi" w:hint="eastAsia"/>
          <w:szCs w:val="20"/>
        </w:rPr>
        <w:t>2</w:t>
      </w:r>
      <w:r w:rsidR="00463B27">
        <w:rPr>
          <w:rFonts w:eastAsiaTheme="minorHAnsi"/>
          <w:szCs w:val="20"/>
        </w:rPr>
        <w:t>023</w:t>
      </w:r>
      <w:r w:rsidR="00463B27">
        <w:rPr>
          <w:rFonts w:eastAsiaTheme="minorHAnsi" w:hint="eastAsia"/>
          <w:szCs w:val="20"/>
        </w:rPr>
        <w:t>.</w:t>
      </w:r>
      <w:r w:rsidR="00463B27">
        <w:rPr>
          <w:rFonts w:eastAsiaTheme="minorHAnsi"/>
          <w:szCs w:val="20"/>
        </w:rPr>
        <w:t>12.31</w:t>
      </w:r>
    </w:p>
    <w:p w:rsidR="00DB14D9" w:rsidRPr="00614E29" w:rsidRDefault="00DB14D9" w:rsidP="00DB14D9">
      <w:pPr>
        <w:pStyle w:val="a7"/>
        <w:numPr>
          <w:ilvl w:val="0"/>
          <w:numId w:val="6"/>
        </w:numPr>
        <w:ind w:leftChars="0"/>
        <w:rPr>
          <w:rFonts w:eastAsiaTheme="minorHAnsi"/>
          <w:b/>
          <w:i/>
          <w:szCs w:val="20"/>
        </w:rPr>
      </w:pPr>
      <w:r w:rsidRPr="00614E29">
        <w:rPr>
          <w:rFonts w:eastAsiaTheme="minorHAnsi" w:hint="eastAsia"/>
          <w:b/>
          <w:szCs w:val="20"/>
        </w:rPr>
        <w:t>연구방법</w:t>
      </w:r>
    </w:p>
    <w:p w:rsidR="003F0907" w:rsidRPr="00463B27" w:rsidRDefault="00DB14D9" w:rsidP="00463B27">
      <w:pPr>
        <w:pStyle w:val="a7"/>
        <w:numPr>
          <w:ilvl w:val="0"/>
          <w:numId w:val="12"/>
        </w:numPr>
        <w:ind w:leftChars="0"/>
        <w:rPr>
          <w:rFonts w:eastAsiaTheme="minorHAnsi"/>
          <w:b/>
          <w:i/>
          <w:szCs w:val="20"/>
        </w:rPr>
      </w:pPr>
      <w:r w:rsidRPr="00614E29">
        <w:rPr>
          <w:rFonts w:eastAsiaTheme="minorHAnsi" w:hint="eastAsia"/>
          <w:b/>
          <w:szCs w:val="20"/>
        </w:rPr>
        <w:t>연구방법</w:t>
      </w:r>
      <w:r w:rsidR="00826BCF">
        <w:rPr>
          <w:rFonts w:eastAsiaTheme="minorHAnsi" w:hint="eastAsia"/>
          <w:b/>
          <w:szCs w:val="20"/>
        </w:rPr>
        <w:t>(자료수집 방법)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26BCF" w:rsidTr="003F0907">
        <w:tc>
          <w:tcPr>
            <w:tcW w:w="8170" w:type="dxa"/>
          </w:tcPr>
          <w:p w:rsidR="00826BCF" w:rsidRPr="003F0907" w:rsidRDefault="00826BCF" w:rsidP="00826BCF">
            <w:pPr>
              <w:pStyle w:val="a7"/>
              <w:ind w:leftChars="0" w:left="0"/>
              <w:rPr>
                <w:rFonts w:eastAsiaTheme="minorHAnsi"/>
                <w:b/>
                <w:szCs w:val="20"/>
              </w:rPr>
            </w:pPr>
            <w:r w:rsidRPr="003F0907">
              <w:rPr>
                <w:rFonts w:eastAsiaTheme="minorHAnsi"/>
                <w:b/>
                <w:szCs w:val="20"/>
              </w:rPr>
              <w:t xml:space="preserve">A. </w:t>
            </w:r>
            <w:r w:rsidRPr="003F0907">
              <w:rPr>
                <w:rFonts w:eastAsiaTheme="minorHAnsi" w:hint="eastAsia"/>
                <w:b/>
                <w:szCs w:val="20"/>
              </w:rPr>
              <w:t>연구에 이용할 자료는 어떤 자료입니까?</w:t>
            </w:r>
          </w:p>
          <w:p w:rsidR="00826BCF" w:rsidRDefault="00463B27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D65D9B">
              <w:rPr>
                <w:rFonts w:asciiTheme="minorEastAsia" w:hAnsiTheme="minorEastAsia" w:hint="eastAsia"/>
                <w:b/>
                <w:szCs w:val="20"/>
              </w:rPr>
              <w:t>■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gramStart"/>
            <w:r w:rsidR="00826BCF">
              <w:rPr>
                <w:rFonts w:asciiTheme="minorEastAsia" w:hAnsiTheme="minorEastAsia" w:hint="eastAsia"/>
                <w:b/>
                <w:szCs w:val="20"/>
              </w:rPr>
              <w:t>의무기록</w:t>
            </w:r>
            <w:r w:rsidR="00431078">
              <w:rPr>
                <w:rFonts w:asciiTheme="minorEastAsia" w:hAnsiTheme="minorEastAsia" w:hint="eastAsia"/>
                <w:b/>
                <w:szCs w:val="20"/>
              </w:rPr>
              <w:t xml:space="preserve"> :</w:t>
            </w:r>
            <w:proofErr w:type="gramEnd"/>
            <w:r w:rsidR="00431078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 w:rsidR="00431078">
              <w:rPr>
                <w:rFonts w:asciiTheme="minorEastAsia" w:hAnsiTheme="minorEastAsia" w:hint="eastAsia"/>
                <w:b/>
                <w:szCs w:val="20"/>
              </w:rPr>
              <w:t>다기관</w:t>
            </w:r>
            <w:proofErr w:type="spellEnd"/>
            <w:r w:rsidR="00431078">
              <w:rPr>
                <w:rFonts w:asciiTheme="minorEastAsia" w:hAnsiTheme="minorEastAsia" w:hint="eastAsia"/>
                <w:b/>
                <w:szCs w:val="20"/>
              </w:rPr>
              <w:t xml:space="preserve"> 의무기록 </w:t>
            </w:r>
            <w:proofErr w:type="spellStart"/>
            <w:r w:rsidR="00431078">
              <w:rPr>
                <w:rFonts w:asciiTheme="minorEastAsia" w:hAnsiTheme="minorEastAsia" w:hint="eastAsia"/>
                <w:b/>
                <w:szCs w:val="20"/>
              </w:rPr>
              <w:t>후향적</w:t>
            </w:r>
            <w:proofErr w:type="spellEnd"/>
            <w:r w:rsidR="00431078">
              <w:rPr>
                <w:rFonts w:asciiTheme="minorEastAsia" w:hAnsiTheme="minorEastAsia" w:hint="eastAsia"/>
                <w:b/>
                <w:szCs w:val="20"/>
              </w:rPr>
              <w:t xml:space="preserve"> 분석</w:t>
            </w:r>
          </w:p>
          <w:p w:rsidR="00826BCF" w:rsidRDefault="00463B27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D65D9B">
              <w:rPr>
                <w:rFonts w:asciiTheme="minorEastAsia" w:hAnsiTheme="minorEastAsia" w:hint="eastAsia"/>
                <w:b/>
                <w:szCs w:val="20"/>
              </w:rPr>
              <w:t>■</w:t>
            </w:r>
            <w:r w:rsidR="00826BCF">
              <w:rPr>
                <w:rFonts w:asciiTheme="minorEastAsia" w:hAnsiTheme="minorEastAsia" w:hint="eastAsia"/>
                <w:b/>
                <w:szCs w:val="20"/>
              </w:rPr>
              <w:t xml:space="preserve"> 공공기관(</w:t>
            </w:r>
            <w:proofErr w:type="spellStart"/>
            <w:r w:rsidR="00826BCF">
              <w:rPr>
                <w:rFonts w:asciiTheme="minorEastAsia" w:hAnsiTheme="minorEastAsia" w:hint="eastAsia"/>
                <w:b/>
                <w:szCs w:val="20"/>
              </w:rPr>
              <w:t>기관명</w:t>
            </w:r>
            <w:proofErr w:type="spellEnd"/>
            <w:r w:rsidR="00826BCF">
              <w:rPr>
                <w:rFonts w:asciiTheme="minorEastAsia" w:hAnsiTheme="minorEastAsia" w:hint="eastAsia"/>
                <w:b/>
                <w:szCs w:val="20"/>
              </w:rPr>
              <w:t xml:space="preserve">:  </w:t>
            </w:r>
            <w:r>
              <w:rPr>
                <w:rFonts w:asciiTheme="minorEastAsia" w:hAnsiTheme="minorEastAsia" w:hint="eastAsia"/>
                <w:b/>
                <w:szCs w:val="20"/>
              </w:rPr>
              <w:t>건강보험심사평가원</w:t>
            </w:r>
            <w:r w:rsidR="00826BCF">
              <w:rPr>
                <w:rFonts w:asciiTheme="minorEastAsia" w:hAnsiTheme="minorEastAsia" w:hint="eastAsia"/>
                <w:b/>
                <w:szCs w:val="20"/>
              </w:rPr>
              <w:t xml:space="preserve"> )의 공개자료</w:t>
            </w:r>
          </w:p>
          <w:p w:rsidR="00826BCF" w:rsidRDefault="00826BCF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D65D9B">
              <w:rPr>
                <w:rFonts w:asciiTheme="minorEastAsia" w:hAnsiTheme="minorEastAsia" w:hint="eastAsia"/>
                <w:b/>
                <w:szCs w:val="20"/>
              </w:rPr>
              <w:t>□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 xml:space="preserve">기타 </w:t>
            </w:r>
            <w:r>
              <w:rPr>
                <w:rFonts w:asciiTheme="minorEastAsia" w:hAnsiTheme="minorEastAsia"/>
                <w:b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  <w:p w:rsidR="003F0907" w:rsidRDefault="003F0907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</w:p>
          <w:p w:rsidR="00826BCF" w:rsidRDefault="00826BCF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B. </w:t>
            </w:r>
            <w:r>
              <w:rPr>
                <w:rFonts w:asciiTheme="minorEastAsia" w:hAnsiTheme="minorEastAsia" w:hint="eastAsia"/>
                <w:b/>
                <w:szCs w:val="20"/>
              </w:rPr>
              <w:t>이미 기록된 자료만을 연구에 이용하는 것입니까?</w:t>
            </w:r>
          </w:p>
          <w:p w:rsidR="00826BCF" w:rsidRDefault="00463B27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D65D9B">
              <w:rPr>
                <w:rFonts w:asciiTheme="minorEastAsia" w:hAnsiTheme="minorEastAsia" w:hint="eastAsia"/>
                <w:b/>
                <w:szCs w:val="20"/>
              </w:rPr>
              <w:lastRenderedPageBreak/>
              <w:t>■</w:t>
            </w:r>
            <w:r w:rsidR="00826BCF">
              <w:rPr>
                <w:rFonts w:asciiTheme="minorEastAsia" w:hAnsiTheme="minorEastAsia" w:hint="eastAsia"/>
                <w:b/>
                <w:szCs w:val="20"/>
              </w:rPr>
              <w:t xml:space="preserve"> 예</w:t>
            </w:r>
          </w:p>
          <w:p w:rsidR="00826BCF" w:rsidRDefault="00826BCF" w:rsidP="00826BCF">
            <w:pPr>
              <w:pStyle w:val="a7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D65D9B">
              <w:rPr>
                <w:rFonts w:asciiTheme="minorEastAsia" w:hAnsiTheme="minorEastAsia" w:hint="eastAsia"/>
                <w:b/>
                <w:szCs w:val="20"/>
              </w:rPr>
              <w:t>□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아니오,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추적관찰 등 진료목적으로 앞으로 수집될 자료가 포함되어 있습니다.</w:t>
            </w:r>
          </w:p>
          <w:p w:rsidR="00826BCF" w:rsidRDefault="00826BCF" w:rsidP="00826BCF">
            <w:pPr>
              <w:pStyle w:val="a7"/>
              <w:ind w:leftChars="0" w:left="0" w:firstLineChars="100" w:firstLine="200"/>
              <w:rPr>
                <w:rFonts w:asciiTheme="minorEastAsia" w:hAnsiTheme="minorEastAsia"/>
                <w:b/>
                <w:szCs w:val="20"/>
              </w:rPr>
            </w:pPr>
            <w:r w:rsidRPr="003F0907">
              <w:rPr>
                <w:rFonts w:asciiTheme="minorEastAsia" w:hAnsiTheme="minorEastAsia" w:hint="eastAsia"/>
                <w:b/>
                <w:szCs w:val="20"/>
                <w:u w:val="single"/>
              </w:rPr>
              <w:t>☞</w:t>
            </w:r>
            <w:r w:rsidRPr="003F0907">
              <w:rPr>
                <w:rFonts w:asciiTheme="minorEastAsia" w:hAnsiTheme="minorEastAsia"/>
                <w:b/>
                <w:szCs w:val="20"/>
                <w:u w:val="single"/>
              </w:rPr>
              <w:t>’</w:t>
            </w:r>
            <w:r w:rsidRPr="003F0907">
              <w:rPr>
                <w:rFonts w:asciiTheme="minorEastAsia" w:hAnsiTheme="minorEastAsia" w:hint="eastAsia"/>
                <w:b/>
                <w:szCs w:val="20"/>
                <w:u w:val="single"/>
              </w:rPr>
              <w:t>아니오</w:t>
            </w:r>
            <w:r w:rsidRPr="003F0907">
              <w:rPr>
                <w:rFonts w:asciiTheme="minorEastAsia" w:hAnsiTheme="minorEastAsia"/>
                <w:b/>
                <w:szCs w:val="20"/>
                <w:u w:val="single"/>
              </w:rPr>
              <w:t xml:space="preserve">’ </w:t>
            </w:r>
            <w:r w:rsidRPr="003F0907">
              <w:rPr>
                <w:rFonts w:asciiTheme="minorEastAsia" w:hAnsiTheme="minorEastAsia" w:hint="eastAsia"/>
                <w:b/>
                <w:szCs w:val="20"/>
                <w:u w:val="single"/>
              </w:rPr>
              <w:t>라고 체크한 경우,</w:t>
            </w:r>
            <w:r w:rsidRPr="003F0907">
              <w:rPr>
                <w:rFonts w:asciiTheme="minorEastAsia" w:hAnsiTheme="minorEastAsia"/>
                <w:b/>
                <w:szCs w:val="20"/>
                <w:u w:val="single"/>
              </w:rPr>
              <w:t xml:space="preserve"> </w:t>
            </w:r>
            <w:r w:rsidRPr="003F0907">
              <w:rPr>
                <w:rFonts w:asciiTheme="minorEastAsia" w:hAnsiTheme="minorEastAsia" w:hint="eastAsia"/>
                <w:b/>
                <w:szCs w:val="20"/>
                <w:u w:val="single"/>
              </w:rPr>
              <w:t xml:space="preserve">본 </w:t>
            </w:r>
            <w:r w:rsidR="003F0907">
              <w:rPr>
                <w:rFonts w:asciiTheme="minorEastAsia" w:hAnsiTheme="minorEastAsia" w:hint="eastAsia"/>
                <w:b/>
                <w:szCs w:val="20"/>
                <w:u w:val="single"/>
              </w:rPr>
              <w:t>양식</w:t>
            </w:r>
            <w:r w:rsidRPr="003F0907">
              <w:rPr>
                <w:rFonts w:asciiTheme="minorEastAsia" w:hAnsiTheme="minorEastAsia" w:hint="eastAsia"/>
                <w:b/>
                <w:szCs w:val="20"/>
                <w:u w:val="single"/>
              </w:rPr>
              <w:t>을 이용할 수 없습니다</w:t>
            </w:r>
            <w:r>
              <w:rPr>
                <w:rFonts w:asciiTheme="minorEastAsia" w:hAnsiTheme="minorEastAsia" w:hint="eastAsia"/>
                <w:b/>
                <w:szCs w:val="20"/>
              </w:rPr>
              <w:t>.</w:t>
            </w:r>
          </w:p>
          <w:p w:rsidR="003F0907" w:rsidRDefault="003F0907" w:rsidP="00826BCF">
            <w:pPr>
              <w:pStyle w:val="a7"/>
              <w:ind w:leftChars="0" w:left="0" w:firstLineChars="100" w:firstLine="200"/>
              <w:rPr>
                <w:rFonts w:asciiTheme="minorEastAsia" w:hAnsiTheme="minorEastAsia"/>
                <w:b/>
                <w:szCs w:val="20"/>
              </w:rPr>
            </w:pPr>
          </w:p>
          <w:p w:rsidR="00826BCF" w:rsidRPr="003F0907" w:rsidRDefault="00826BCF" w:rsidP="00826BCF">
            <w:pPr>
              <w:rPr>
                <w:rFonts w:eastAsiaTheme="minorHAnsi"/>
                <w:b/>
                <w:szCs w:val="20"/>
              </w:rPr>
            </w:pPr>
            <w:r w:rsidRPr="003F0907">
              <w:rPr>
                <w:rFonts w:eastAsiaTheme="minorHAnsi" w:hint="eastAsia"/>
                <w:b/>
                <w:szCs w:val="20"/>
              </w:rPr>
              <w:t>C.</w:t>
            </w:r>
            <w:r w:rsidRPr="003F0907">
              <w:rPr>
                <w:rFonts w:eastAsiaTheme="minorHAnsi"/>
                <w:b/>
                <w:szCs w:val="20"/>
              </w:rPr>
              <w:t xml:space="preserve"> </w:t>
            </w:r>
            <w:r w:rsidRPr="003F0907">
              <w:rPr>
                <w:rFonts w:eastAsiaTheme="minorHAnsi" w:hint="eastAsia"/>
                <w:b/>
                <w:szCs w:val="20"/>
              </w:rPr>
              <w:t>자료수집 방법</w:t>
            </w:r>
          </w:p>
          <w:p w:rsidR="00826BCF" w:rsidRPr="003F0907" w:rsidRDefault="00826BCF" w:rsidP="00826BCF">
            <w:pPr>
              <w:rPr>
                <w:rFonts w:eastAsiaTheme="minorHAnsi"/>
                <w:szCs w:val="20"/>
              </w:rPr>
            </w:pPr>
            <w:r w:rsidRPr="003F0907">
              <w:rPr>
                <w:rFonts w:eastAsiaTheme="minorHAnsi" w:hint="eastAsia"/>
                <w:b/>
                <w:szCs w:val="20"/>
              </w:rPr>
              <w:t xml:space="preserve"> -자료수집 대상자 수(</w:t>
            </w:r>
            <w:proofErr w:type="spellStart"/>
            <w:r w:rsidR="00A70ED3">
              <w:rPr>
                <w:rFonts w:eastAsiaTheme="minorHAnsi" w:hint="eastAsia"/>
                <w:b/>
                <w:szCs w:val="20"/>
              </w:rPr>
              <w:t>증</w:t>
            </w:r>
            <w:r w:rsidRPr="003F0907">
              <w:rPr>
                <w:rFonts w:eastAsiaTheme="minorHAnsi" w:hint="eastAsia"/>
                <w:b/>
                <w:szCs w:val="20"/>
              </w:rPr>
              <w:t>례수</w:t>
            </w:r>
            <w:proofErr w:type="spellEnd"/>
            <w:r w:rsidRPr="003F0907">
              <w:rPr>
                <w:rFonts w:eastAsiaTheme="minorHAnsi" w:hint="eastAsia"/>
                <w:b/>
                <w:szCs w:val="20"/>
              </w:rPr>
              <w:t>)</w:t>
            </w:r>
            <w:r w:rsidRPr="003F0907">
              <w:rPr>
                <w:rFonts w:eastAsiaTheme="minorHAnsi"/>
                <w:b/>
                <w:szCs w:val="20"/>
              </w:rPr>
              <w:t xml:space="preserve"> :</w:t>
            </w:r>
            <w:r w:rsidR="00463B27">
              <w:rPr>
                <w:rFonts w:eastAsiaTheme="minorHAnsi"/>
                <w:b/>
                <w:szCs w:val="20"/>
              </w:rPr>
              <w:t xml:space="preserve"> </w:t>
            </w:r>
            <w:proofErr w:type="spellStart"/>
            <w:r w:rsidR="00267A26">
              <w:rPr>
                <w:rFonts w:eastAsiaTheme="minorHAnsi" w:hint="eastAsia"/>
                <w:b/>
                <w:szCs w:val="20"/>
              </w:rPr>
              <w:t>길랑</w:t>
            </w:r>
            <w:proofErr w:type="spellEnd"/>
            <w:r w:rsidR="00267A26">
              <w:rPr>
                <w:rFonts w:eastAsiaTheme="minorHAnsi" w:hint="eastAsia"/>
                <w:b/>
                <w:szCs w:val="20"/>
              </w:rPr>
              <w:t>-</w:t>
            </w:r>
            <w:proofErr w:type="spellStart"/>
            <w:r w:rsidR="00267A26">
              <w:rPr>
                <w:rFonts w:eastAsiaTheme="minorHAnsi" w:hint="eastAsia"/>
                <w:b/>
                <w:szCs w:val="20"/>
              </w:rPr>
              <w:t>바레</w:t>
            </w:r>
            <w:proofErr w:type="spellEnd"/>
            <w:r w:rsidR="00267A26">
              <w:rPr>
                <w:rFonts w:eastAsiaTheme="minorHAnsi" w:hint="eastAsia"/>
                <w:b/>
                <w:szCs w:val="20"/>
              </w:rPr>
              <w:t xml:space="preserve"> 증후군:</w:t>
            </w:r>
            <w:bookmarkStart w:id="0" w:name="_GoBack"/>
            <w:bookmarkEnd w:id="0"/>
            <w:r w:rsidR="000213FF">
              <w:rPr>
                <w:rFonts w:eastAsiaTheme="minorHAnsi"/>
                <w:b/>
                <w:szCs w:val="20"/>
              </w:rPr>
              <w:t>2</w:t>
            </w:r>
            <w:r w:rsidR="00463B27">
              <w:rPr>
                <w:rFonts w:eastAsiaTheme="minorHAnsi"/>
                <w:b/>
                <w:szCs w:val="20"/>
              </w:rPr>
              <w:t>00</w:t>
            </w:r>
            <w:r w:rsidR="00463B27">
              <w:rPr>
                <w:rFonts w:eastAsiaTheme="minorHAnsi" w:hint="eastAsia"/>
                <w:b/>
                <w:szCs w:val="20"/>
              </w:rPr>
              <w:t>건</w:t>
            </w:r>
            <w:r w:rsidR="00267A26">
              <w:rPr>
                <w:rFonts w:eastAsiaTheme="minorHAnsi" w:hint="eastAsia"/>
                <w:b/>
                <w:szCs w:val="20"/>
              </w:rPr>
              <w:t>,</w:t>
            </w:r>
            <w:r w:rsidR="00267A26">
              <w:rPr>
                <w:rFonts w:eastAsiaTheme="minorHAnsi"/>
                <w:b/>
                <w:szCs w:val="20"/>
              </w:rPr>
              <w:t xml:space="preserve"> Parsonage-Turner </w:t>
            </w:r>
            <w:r w:rsidR="00267A26">
              <w:rPr>
                <w:rFonts w:eastAsiaTheme="minorHAnsi" w:hint="eastAsia"/>
                <w:b/>
                <w:szCs w:val="20"/>
              </w:rPr>
              <w:t>증후군:</w:t>
            </w:r>
            <w:r w:rsidR="00267A26">
              <w:rPr>
                <w:rFonts w:eastAsiaTheme="minorHAnsi"/>
                <w:b/>
                <w:szCs w:val="20"/>
              </w:rPr>
              <w:t xml:space="preserve"> 100</w:t>
            </w:r>
            <w:r w:rsidR="00267A26">
              <w:rPr>
                <w:rFonts w:eastAsiaTheme="minorHAnsi" w:hint="eastAsia"/>
                <w:b/>
                <w:szCs w:val="20"/>
              </w:rPr>
              <w:t>건</w:t>
            </w:r>
          </w:p>
          <w:p w:rsidR="00826BCF" w:rsidRPr="00A70ED3" w:rsidRDefault="00826BCF" w:rsidP="00A70ED3">
            <w:pPr>
              <w:ind w:left="200" w:hangingChars="100" w:hanging="200"/>
              <w:rPr>
                <w:rFonts w:eastAsiaTheme="minorHAnsi"/>
                <w:b/>
                <w:szCs w:val="20"/>
              </w:rPr>
            </w:pPr>
            <w:r w:rsidRPr="003F0907">
              <w:rPr>
                <w:rFonts w:eastAsiaTheme="minorHAnsi"/>
                <w:b/>
                <w:szCs w:val="20"/>
              </w:rPr>
              <w:t xml:space="preserve"> -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자료수집 </w:t>
            </w:r>
            <w:proofErr w:type="gramStart"/>
            <w:r w:rsidRPr="003F0907">
              <w:rPr>
                <w:rFonts w:eastAsiaTheme="minorHAnsi" w:hint="eastAsia"/>
                <w:b/>
                <w:szCs w:val="20"/>
              </w:rPr>
              <w:t xml:space="preserve">대상기간 </w:t>
            </w:r>
            <w:r w:rsidRPr="003F0907">
              <w:rPr>
                <w:rFonts w:eastAsiaTheme="minorHAnsi"/>
                <w:b/>
                <w:szCs w:val="20"/>
              </w:rPr>
              <w:t>:</w:t>
            </w:r>
            <w:proofErr w:type="gramEnd"/>
            <w:r w:rsidRPr="003F0907">
              <w:rPr>
                <w:rFonts w:eastAsiaTheme="minorHAnsi"/>
                <w:b/>
                <w:szCs w:val="20"/>
              </w:rPr>
              <w:t xml:space="preserve"> </w:t>
            </w:r>
            <w:r w:rsidR="00463B27">
              <w:rPr>
                <w:rFonts w:eastAsiaTheme="minorHAnsi"/>
                <w:b/>
                <w:szCs w:val="20"/>
              </w:rPr>
              <w:t>2020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년 </w:t>
            </w:r>
            <w:r w:rsidR="00463B27">
              <w:rPr>
                <w:rFonts w:eastAsiaTheme="minorHAnsi"/>
                <w:b/>
                <w:szCs w:val="20"/>
              </w:rPr>
              <w:t>2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월 </w:t>
            </w:r>
            <w:r w:rsidR="00463B27">
              <w:rPr>
                <w:rFonts w:eastAsiaTheme="minorHAnsi"/>
                <w:b/>
                <w:szCs w:val="20"/>
              </w:rPr>
              <w:t>1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일부터 </w:t>
            </w:r>
            <w:r w:rsidR="00463B27">
              <w:rPr>
                <w:rFonts w:eastAsiaTheme="minorHAnsi"/>
                <w:b/>
                <w:szCs w:val="20"/>
              </w:rPr>
              <w:t>2022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년 </w:t>
            </w:r>
            <w:r w:rsidR="00463B27">
              <w:rPr>
                <w:rFonts w:eastAsiaTheme="minorHAnsi"/>
                <w:b/>
                <w:szCs w:val="20"/>
              </w:rPr>
              <w:t>2</w:t>
            </w:r>
            <w:r w:rsidRPr="003F0907">
              <w:rPr>
                <w:rFonts w:eastAsiaTheme="minorHAnsi" w:hint="eastAsia"/>
                <w:b/>
                <w:szCs w:val="20"/>
              </w:rPr>
              <w:t xml:space="preserve">월 </w:t>
            </w:r>
            <w:r w:rsidR="00463B27">
              <w:rPr>
                <w:rFonts w:eastAsiaTheme="minorHAnsi"/>
                <w:b/>
                <w:szCs w:val="20"/>
              </w:rPr>
              <w:t>28</w:t>
            </w:r>
            <w:r w:rsidRPr="003F0907">
              <w:rPr>
                <w:rFonts w:eastAsiaTheme="minorHAnsi" w:hint="eastAsia"/>
                <w:b/>
                <w:szCs w:val="20"/>
              </w:rPr>
              <w:t>일까지의 의무기록을 이용함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</w:tbl>
    <w:p w:rsidR="00826BCF" w:rsidRPr="00614E29" w:rsidRDefault="00826BCF" w:rsidP="00826BCF">
      <w:pPr>
        <w:pStyle w:val="a7"/>
        <w:ind w:leftChars="0" w:left="1200"/>
        <w:rPr>
          <w:rFonts w:eastAsiaTheme="minorHAnsi"/>
          <w:b/>
          <w:i/>
          <w:szCs w:val="20"/>
        </w:rPr>
      </w:pPr>
    </w:p>
    <w:p w:rsidR="00DB14D9" w:rsidRPr="00826BCF" w:rsidRDefault="00826BCF" w:rsidP="00DB14D9">
      <w:pPr>
        <w:pStyle w:val="a7"/>
        <w:numPr>
          <w:ilvl w:val="0"/>
          <w:numId w:val="12"/>
        </w:numPr>
        <w:ind w:leftChars="0"/>
        <w:rPr>
          <w:rFonts w:eastAsiaTheme="minorHAnsi"/>
          <w:b/>
          <w:szCs w:val="20"/>
        </w:rPr>
      </w:pPr>
      <w:r w:rsidRPr="00826BCF">
        <w:rPr>
          <w:rFonts w:eastAsiaTheme="minorHAnsi" w:hint="eastAsia"/>
          <w:b/>
          <w:szCs w:val="20"/>
        </w:rPr>
        <w:t>자료수집 항목(평가항목)</w:t>
      </w:r>
    </w:p>
    <w:p w:rsidR="004F1357" w:rsidRPr="004F1357" w:rsidRDefault="004F1357" w:rsidP="00D41690">
      <w:pPr>
        <w:pStyle w:val="a7"/>
        <w:spacing w:line="240" w:lineRule="auto"/>
        <w:ind w:leftChars="500" w:left="10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 w:rsidRPr="004F1357">
        <w:rPr>
          <w:rFonts w:eastAsiaTheme="minorHAnsi"/>
          <w:szCs w:val="20"/>
        </w:rPr>
        <w:t xml:space="preserve">1)　COVID-19 또는 백신 연관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(및 Parsonage-Turner 증후군) 발병 확인, 임상 및 전기생리학적 특성 분석에 적합한 케이스 </w:t>
      </w:r>
      <w:proofErr w:type="spellStart"/>
      <w:r w:rsidRPr="004F1357">
        <w:rPr>
          <w:rFonts w:eastAsiaTheme="minorHAnsi"/>
          <w:szCs w:val="20"/>
        </w:rPr>
        <w:t>보고양식</w:t>
      </w:r>
      <w:proofErr w:type="spellEnd"/>
      <w:r w:rsidRPr="004F1357">
        <w:rPr>
          <w:rFonts w:eastAsiaTheme="minorHAnsi"/>
          <w:szCs w:val="20"/>
        </w:rPr>
        <w:t xml:space="preserve"> 개발</w:t>
      </w:r>
      <w:r w:rsidR="00680384">
        <w:rPr>
          <w:rFonts w:eastAsiaTheme="minorHAnsi" w:hint="eastAsia"/>
          <w:szCs w:val="20"/>
        </w:rPr>
        <w:t xml:space="preserve"> 및 수집</w:t>
      </w:r>
    </w:p>
    <w:p w:rsidR="004F1357" w:rsidRPr="004F1357" w:rsidRDefault="004F1357" w:rsidP="00D41690">
      <w:pPr>
        <w:pStyle w:val="a7"/>
        <w:spacing w:line="240" w:lineRule="auto"/>
        <w:ind w:leftChars="500" w:left="1000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등 </w:t>
      </w:r>
      <w:proofErr w:type="spellStart"/>
      <w:r w:rsidRPr="004F1357">
        <w:rPr>
          <w:rFonts w:eastAsiaTheme="minorHAnsi"/>
          <w:szCs w:val="20"/>
        </w:rPr>
        <w:t>염증성</w:t>
      </w:r>
      <w:proofErr w:type="spellEnd"/>
      <w:r w:rsidRPr="004F1357">
        <w:rPr>
          <w:rFonts w:eastAsiaTheme="minorHAnsi"/>
          <w:szCs w:val="20"/>
        </w:rPr>
        <w:t xml:space="preserve"> 신경병증 전문가 및 역학 전문가 구성 패널 구성 (본 연구 공동 연구자로 역학 전문가 기포함, 향후 추가 패널 구성), 회의를 통한 백신 연관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및 Parsonage-Turner 증후군 조사 보고 양식 개발</w:t>
      </w:r>
    </w:p>
    <w:p w:rsidR="00680384" w:rsidRDefault="004F1357" w:rsidP="00D41690">
      <w:pPr>
        <w:spacing w:line="240" w:lineRule="auto"/>
        <w:ind w:leftChars="500" w:left="1000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연령,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성별의 기본적인 </w:t>
      </w:r>
      <w:r>
        <w:rPr>
          <w:rFonts w:eastAsiaTheme="minorHAnsi"/>
          <w:szCs w:val="20"/>
        </w:rPr>
        <w:t>demogr</w:t>
      </w:r>
      <w:r w:rsidR="00D4565A">
        <w:rPr>
          <w:rFonts w:eastAsiaTheme="minorHAnsi"/>
          <w:szCs w:val="20"/>
        </w:rPr>
        <w:t>a</w:t>
      </w:r>
      <w:r>
        <w:rPr>
          <w:rFonts w:eastAsiaTheme="minorHAnsi"/>
          <w:szCs w:val="20"/>
        </w:rPr>
        <w:t xml:space="preserve">phic data, </w:t>
      </w:r>
      <w:proofErr w:type="spellStart"/>
      <w:r w:rsidRPr="004F1357">
        <w:rPr>
          <w:rFonts w:eastAsiaTheme="minorHAnsi"/>
          <w:szCs w:val="20"/>
        </w:rPr>
        <w:t>임상양상</w:t>
      </w:r>
      <w:proofErr w:type="spellEnd"/>
      <w:r w:rsidRPr="004F1357">
        <w:rPr>
          <w:rFonts w:eastAsiaTheme="minorHAnsi"/>
          <w:szCs w:val="20"/>
        </w:rPr>
        <w:t xml:space="preserve">, 전기생리학적 검사 소견, </w:t>
      </w:r>
      <w:proofErr w:type="spellStart"/>
      <w:r w:rsidRPr="004F1357">
        <w:rPr>
          <w:rFonts w:eastAsiaTheme="minorHAnsi"/>
          <w:szCs w:val="20"/>
        </w:rPr>
        <w:t>발병일자</w:t>
      </w:r>
      <w:proofErr w:type="spellEnd"/>
      <w:r w:rsidRPr="004F1357">
        <w:rPr>
          <w:rFonts w:eastAsiaTheme="minorHAnsi"/>
          <w:szCs w:val="20"/>
        </w:rPr>
        <w:t xml:space="preserve">, 복시, 안면마비, </w:t>
      </w:r>
      <w:proofErr w:type="spellStart"/>
      <w:r w:rsidRPr="004F1357">
        <w:rPr>
          <w:rFonts w:eastAsiaTheme="minorHAnsi"/>
          <w:szCs w:val="20"/>
        </w:rPr>
        <w:t>구음</w:t>
      </w:r>
      <w:proofErr w:type="spellEnd"/>
      <w:r w:rsidRPr="004F1357">
        <w:rPr>
          <w:rFonts w:eastAsiaTheme="minorHAnsi"/>
          <w:szCs w:val="20"/>
        </w:rPr>
        <w:t xml:space="preserve"> 또는 상하지 위약 여부, 실조 </w:t>
      </w:r>
      <w:proofErr w:type="spellStart"/>
      <w:r w:rsidRPr="004F1357">
        <w:rPr>
          <w:rFonts w:eastAsiaTheme="minorHAnsi"/>
          <w:szCs w:val="20"/>
        </w:rPr>
        <w:t>동반여부</w:t>
      </w:r>
      <w:proofErr w:type="spellEnd"/>
      <w:r w:rsidRPr="004F1357">
        <w:rPr>
          <w:rFonts w:eastAsiaTheme="minorHAnsi"/>
          <w:szCs w:val="20"/>
        </w:rPr>
        <w:t xml:space="preserve">, </w:t>
      </w:r>
      <w:proofErr w:type="spellStart"/>
      <w:r w:rsidRPr="004F1357">
        <w:rPr>
          <w:rFonts w:eastAsiaTheme="minorHAnsi"/>
          <w:szCs w:val="20"/>
        </w:rPr>
        <w:t>건반사</w:t>
      </w:r>
      <w:proofErr w:type="spellEnd"/>
      <w:r w:rsidRPr="004F1357">
        <w:rPr>
          <w:rFonts w:eastAsiaTheme="minorHAnsi"/>
          <w:szCs w:val="20"/>
        </w:rPr>
        <w:t xml:space="preserve"> 감소를 포함한 진찰 소견, </w:t>
      </w:r>
      <w:proofErr w:type="spellStart"/>
      <w:r w:rsidRPr="004F1357">
        <w:rPr>
          <w:rFonts w:eastAsiaTheme="minorHAnsi"/>
          <w:szCs w:val="20"/>
        </w:rPr>
        <w:t>선행감염력</w:t>
      </w:r>
      <w:proofErr w:type="spellEnd"/>
      <w:r w:rsidRPr="004F1357">
        <w:rPr>
          <w:rFonts w:eastAsiaTheme="minorHAnsi"/>
          <w:szCs w:val="20"/>
        </w:rPr>
        <w:t xml:space="preserve"> 및 이를 확인할 수 있는 실험실 검사(C. </w:t>
      </w:r>
      <w:proofErr w:type="spellStart"/>
      <w:r w:rsidRPr="004F1357">
        <w:rPr>
          <w:rFonts w:eastAsiaTheme="minorHAnsi"/>
          <w:szCs w:val="20"/>
        </w:rPr>
        <w:t>jejuni</w:t>
      </w:r>
      <w:proofErr w:type="spellEnd"/>
      <w:r w:rsidRPr="004F1357">
        <w:rPr>
          <w:rFonts w:eastAsiaTheme="minorHAnsi"/>
          <w:szCs w:val="20"/>
        </w:rPr>
        <w:t xml:space="preserve"> PCR, culture, antibody 등), </w:t>
      </w:r>
      <w:proofErr w:type="spellStart"/>
      <w:r w:rsidRPr="004F1357">
        <w:rPr>
          <w:rFonts w:eastAsiaTheme="minorHAnsi"/>
          <w:szCs w:val="20"/>
        </w:rPr>
        <w:t>기저질환</w:t>
      </w:r>
      <w:proofErr w:type="spellEnd"/>
      <w:r w:rsidRPr="004F1357">
        <w:rPr>
          <w:rFonts w:eastAsiaTheme="minorHAnsi"/>
          <w:szCs w:val="20"/>
        </w:rPr>
        <w:t>, 뇌척수액검사 소견 (</w:t>
      </w:r>
      <w:proofErr w:type="spellStart"/>
      <w:r w:rsidRPr="004F1357">
        <w:rPr>
          <w:rFonts w:eastAsiaTheme="minorHAnsi"/>
          <w:szCs w:val="20"/>
        </w:rPr>
        <w:t>albuminocytologic</w:t>
      </w:r>
      <w:proofErr w:type="spellEnd"/>
      <w:r w:rsidRPr="004F1357">
        <w:rPr>
          <w:rFonts w:eastAsiaTheme="minorHAnsi"/>
          <w:szCs w:val="20"/>
        </w:rPr>
        <w:t xml:space="preserve"> dissociation), </w:t>
      </w:r>
      <w:proofErr w:type="spellStart"/>
      <w:r w:rsidRPr="004F1357">
        <w:rPr>
          <w:rFonts w:eastAsiaTheme="minorHAnsi"/>
          <w:szCs w:val="20"/>
        </w:rPr>
        <w:t>항강글리오시드</w:t>
      </w:r>
      <w:proofErr w:type="spellEnd"/>
      <w:r w:rsidRPr="004F1357">
        <w:rPr>
          <w:rFonts w:eastAsiaTheme="minorHAnsi"/>
          <w:szCs w:val="20"/>
        </w:rPr>
        <w:t xml:space="preserve"> 항체, 신경근전도검사 소견, 중증도 평가를 위한 Impairment/disability scale, 인공호흡기 적용 및 중환자실 치료 여부 및 일자, 입원기간, 치료(면역글로불린, 혈장교환술, 스테로이드 등), 백신접종여부 및 일자, 백신 종류 및 용량 등 정보 포함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</w:p>
    <w:p w:rsidR="00D50E58" w:rsidRDefault="00D4565A" w:rsidP="00D41690">
      <w:pPr>
        <w:spacing w:line="240" w:lineRule="auto"/>
        <w:ind w:leftChars="500" w:left="10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(CRF </w:t>
      </w:r>
      <w:r>
        <w:rPr>
          <w:rFonts w:eastAsiaTheme="minorHAnsi" w:hint="eastAsia"/>
          <w:szCs w:val="20"/>
        </w:rPr>
        <w:t>첨부)</w:t>
      </w:r>
    </w:p>
    <w:p w:rsidR="000B4FDA" w:rsidRPr="00D41690" w:rsidRDefault="000B4FDA" w:rsidP="00D41690">
      <w:pPr>
        <w:spacing w:line="240" w:lineRule="auto"/>
        <w:ind w:leftChars="500" w:left="1000"/>
        <w:rPr>
          <w:rFonts w:eastAsiaTheme="minorHAnsi"/>
          <w:szCs w:val="20"/>
        </w:rPr>
      </w:pPr>
    </w:p>
    <w:p w:rsidR="0004516C" w:rsidRPr="001B407E" w:rsidRDefault="0004516C" w:rsidP="001B407E">
      <w:pPr>
        <w:pStyle w:val="a7"/>
        <w:numPr>
          <w:ilvl w:val="0"/>
          <w:numId w:val="12"/>
        </w:numPr>
        <w:ind w:leftChars="0"/>
        <w:rPr>
          <w:rFonts w:eastAsiaTheme="minorHAnsi"/>
          <w:b/>
          <w:i/>
          <w:szCs w:val="20"/>
        </w:rPr>
      </w:pPr>
      <w:r w:rsidRPr="001B407E">
        <w:rPr>
          <w:rFonts w:eastAsiaTheme="minorHAnsi" w:hint="eastAsia"/>
          <w:b/>
          <w:szCs w:val="20"/>
        </w:rPr>
        <w:t>자료 분석 및 통계분석방법</w:t>
      </w:r>
    </w:p>
    <w:p w:rsidR="004F1357" w:rsidRPr="00D50E58" w:rsidRDefault="004F1357" w:rsidP="00D50E58">
      <w:pPr>
        <w:pStyle w:val="a7"/>
        <w:numPr>
          <w:ilvl w:val="0"/>
          <w:numId w:val="29"/>
        </w:numPr>
        <w:ind w:leftChars="0"/>
        <w:rPr>
          <w:rFonts w:eastAsiaTheme="minorHAnsi"/>
          <w:b/>
          <w:szCs w:val="20"/>
          <w:u w:val="single"/>
        </w:rPr>
      </w:pPr>
      <w:proofErr w:type="gramStart"/>
      <w:r w:rsidRPr="00D50E58">
        <w:rPr>
          <w:rFonts w:eastAsiaTheme="minorHAnsi"/>
          <w:b/>
          <w:szCs w:val="20"/>
          <w:u w:val="single"/>
        </w:rPr>
        <w:t>1</w:t>
      </w:r>
      <w:r w:rsidRPr="00D50E58">
        <w:rPr>
          <w:rFonts w:eastAsiaTheme="minorHAnsi" w:hint="eastAsia"/>
          <w:b/>
          <w:szCs w:val="20"/>
          <w:u w:val="single"/>
        </w:rPr>
        <w:t xml:space="preserve">단계 </w:t>
      </w:r>
      <w:r w:rsidRPr="00D50E58">
        <w:rPr>
          <w:rFonts w:eastAsiaTheme="minorHAnsi"/>
          <w:b/>
          <w:szCs w:val="20"/>
          <w:u w:val="single"/>
        </w:rPr>
        <w:t>:</w:t>
      </w:r>
      <w:proofErr w:type="gramEnd"/>
      <w:r w:rsidRPr="00D50E58">
        <w:rPr>
          <w:rFonts w:eastAsiaTheme="minorHAnsi"/>
          <w:b/>
          <w:szCs w:val="20"/>
          <w:u w:val="single"/>
        </w:rPr>
        <w:t xml:space="preserve"> </w:t>
      </w:r>
      <w:r w:rsidRPr="00D50E58">
        <w:rPr>
          <w:rFonts w:eastAsiaTheme="minorHAnsi" w:hint="eastAsia"/>
          <w:b/>
          <w:szCs w:val="20"/>
          <w:u w:val="single"/>
        </w:rPr>
        <w:t xml:space="preserve">국내 </w:t>
      </w:r>
      <w:proofErr w:type="spellStart"/>
      <w:r w:rsidRPr="00D50E58">
        <w:rPr>
          <w:rFonts w:eastAsiaTheme="minorHAnsi" w:hint="eastAsia"/>
          <w:b/>
          <w:szCs w:val="20"/>
          <w:u w:val="single"/>
        </w:rPr>
        <w:t>다기관</w:t>
      </w:r>
      <w:proofErr w:type="spellEnd"/>
      <w:r w:rsidRPr="00D50E58">
        <w:rPr>
          <w:rFonts w:eastAsiaTheme="minorHAnsi" w:hint="eastAsia"/>
          <w:b/>
          <w:szCs w:val="20"/>
          <w:u w:val="single"/>
        </w:rPr>
        <w:t xml:space="preserve"> </w:t>
      </w:r>
      <w:proofErr w:type="spellStart"/>
      <w:r w:rsidRPr="00D50E58">
        <w:rPr>
          <w:rFonts w:eastAsiaTheme="minorHAnsi" w:hint="eastAsia"/>
          <w:b/>
          <w:szCs w:val="20"/>
          <w:u w:val="single"/>
        </w:rPr>
        <w:t>길랭</w:t>
      </w:r>
      <w:proofErr w:type="spellEnd"/>
      <w:r w:rsidRPr="00D50E58">
        <w:rPr>
          <w:rFonts w:eastAsiaTheme="minorHAnsi" w:hint="eastAsia"/>
          <w:b/>
          <w:szCs w:val="20"/>
          <w:u w:val="single"/>
        </w:rPr>
        <w:t>-</w:t>
      </w:r>
      <w:proofErr w:type="spellStart"/>
      <w:r w:rsidRPr="00D50E58">
        <w:rPr>
          <w:rFonts w:eastAsiaTheme="minorHAnsi" w:hint="eastAsia"/>
          <w:b/>
          <w:szCs w:val="20"/>
          <w:u w:val="single"/>
        </w:rPr>
        <w:t>바레증후군</w:t>
      </w:r>
      <w:proofErr w:type="spellEnd"/>
      <w:r w:rsidRPr="00D50E58">
        <w:rPr>
          <w:rFonts w:eastAsiaTheme="minorHAnsi" w:hint="eastAsia"/>
          <w:b/>
          <w:szCs w:val="20"/>
          <w:u w:val="single"/>
        </w:rPr>
        <w:t xml:space="preserve"> 및 </w:t>
      </w:r>
      <w:r w:rsidRPr="00D50E58">
        <w:rPr>
          <w:rFonts w:eastAsiaTheme="minorHAnsi"/>
          <w:b/>
          <w:szCs w:val="20"/>
          <w:u w:val="single"/>
        </w:rPr>
        <w:t xml:space="preserve">Parsonage-Turner </w:t>
      </w:r>
      <w:r w:rsidRPr="00D50E58">
        <w:rPr>
          <w:rFonts w:eastAsiaTheme="minorHAnsi" w:hint="eastAsia"/>
          <w:b/>
          <w:szCs w:val="20"/>
          <w:u w:val="single"/>
        </w:rPr>
        <w:t xml:space="preserve">증후군 증례보고 수집 </w:t>
      </w:r>
      <w:r w:rsidRPr="00D50E58">
        <w:rPr>
          <w:rFonts w:eastAsiaTheme="minorHAnsi"/>
          <w:b/>
          <w:szCs w:val="20"/>
          <w:u w:val="single"/>
        </w:rPr>
        <w:t xml:space="preserve">( </w:t>
      </w:r>
      <w:r w:rsidRPr="00D50E58">
        <w:rPr>
          <w:rFonts w:eastAsiaTheme="minorHAnsi" w:hint="eastAsia"/>
          <w:b/>
          <w:szCs w:val="20"/>
          <w:u w:val="single"/>
        </w:rPr>
        <w:t>위 자료수집 항목 사항 참고)</w:t>
      </w:r>
    </w:p>
    <w:p w:rsidR="00D50E58" w:rsidRDefault="00D50E58" w:rsidP="00D50E58">
      <w:pPr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4F1357" w:rsidRPr="00D50E58">
        <w:rPr>
          <w:rFonts w:eastAsiaTheme="minorHAnsi" w:hint="eastAsia"/>
          <w:szCs w:val="20"/>
        </w:rPr>
        <w:t xml:space="preserve">신경전도검사 분석은 </w:t>
      </w:r>
      <w:r w:rsidR="004F1357" w:rsidRPr="00D50E58">
        <w:rPr>
          <w:rFonts w:eastAsiaTheme="minorHAnsi"/>
          <w:szCs w:val="20"/>
        </w:rPr>
        <w:t xml:space="preserve">validation </w:t>
      </w:r>
      <w:r w:rsidR="004F1357" w:rsidRPr="00D50E58">
        <w:rPr>
          <w:rFonts w:eastAsiaTheme="minorHAnsi" w:hint="eastAsia"/>
          <w:szCs w:val="20"/>
        </w:rPr>
        <w:t xml:space="preserve">되어있는 </w:t>
      </w:r>
      <w:proofErr w:type="spellStart"/>
      <w:r w:rsidR="004F1357" w:rsidRPr="00D50E58">
        <w:rPr>
          <w:rFonts w:eastAsiaTheme="minorHAnsi"/>
          <w:szCs w:val="20"/>
        </w:rPr>
        <w:t>NCViewer</w:t>
      </w:r>
      <w:proofErr w:type="spellEnd"/>
      <w:r w:rsidR="004F1357" w:rsidRPr="00D50E58">
        <w:rPr>
          <w:rFonts w:eastAsiaTheme="minorHAnsi" w:hint="eastAsia"/>
          <w:szCs w:val="20"/>
        </w:rPr>
        <w:t xml:space="preserve">를 적용하여 대규모데이터에 대한 </w:t>
      </w:r>
      <w:r w:rsidR="004F1357" w:rsidRPr="00D50E58">
        <w:rPr>
          <w:rFonts w:eastAsiaTheme="minorHAnsi" w:hint="eastAsia"/>
          <w:szCs w:val="20"/>
        </w:rPr>
        <w:lastRenderedPageBreak/>
        <w:t>일관성 있는 분석진행</w:t>
      </w:r>
    </w:p>
    <w:p w:rsidR="004F1357" w:rsidRPr="0018520B" w:rsidRDefault="00D50E58" w:rsidP="000B4FDA">
      <w:pPr>
        <w:spacing w:line="240" w:lineRule="auto"/>
        <w:ind w:left="800"/>
        <w:rPr>
          <w:rFonts w:eastAsiaTheme="minorHAnsi"/>
          <w:szCs w:val="20"/>
        </w:rPr>
      </w:pPr>
      <w:r w:rsidRPr="0018520B">
        <w:rPr>
          <w:rFonts w:eastAsiaTheme="minorHAnsi"/>
          <w:szCs w:val="20"/>
        </w:rPr>
        <w:t>-</w:t>
      </w:r>
      <w:r w:rsidR="004F1357" w:rsidRPr="0018520B">
        <w:rPr>
          <w:rFonts w:eastAsiaTheme="minorHAnsi"/>
          <w:szCs w:val="20"/>
        </w:rPr>
        <w:t xml:space="preserve">COVID-19 </w:t>
      </w:r>
      <w:r w:rsidR="004F1357" w:rsidRPr="0018520B">
        <w:rPr>
          <w:rFonts w:eastAsiaTheme="minorHAnsi" w:hint="eastAsia"/>
          <w:szCs w:val="20"/>
        </w:rPr>
        <w:t xml:space="preserve">백신 접종 연관 </w:t>
      </w:r>
      <w:proofErr w:type="spellStart"/>
      <w:r w:rsidR="004F1357" w:rsidRPr="0018520B">
        <w:rPr>
          <w:rFonts w:eastAsiaTheme="minorHAnsi" w:hint="eastAsia"/>
          <w:szCs w:val="20"/>
        </w:rPr>
        <w:t>길랭바레증후군과</w:t>
      </w:r>
      <w:proofErr w:type="spellEnd"/>
      <w:r w:rsidR="004F1357" w:rsidRPr="0018520B">
        <w:rPr>
          <w:rFonts w:eastAsiaTheme="minorHAnsi" w:hint="eastAsia"/>
          <w:szCs w:val="20"/>
        </w:rPr>
        <w:t xml:space="preserve"> 백신 접종과 연관성 없는 </w:t>
      </w:r>
      <w:r w:rsidR="004F1357" w:rsidRPr="0018520B">
        <w:rPr>
          <w:rFonts w:eastAsiaTheme="minorHAnsi"/>
          <w:szCs w:val="20"/>
        </w:rPr>
        <w:t xml:space="preserve">Classical </w:t>
      </w:r>
      <w:proofErr w:type="spellStart"/>
      <w:r w:rsidR="004F1357" w:rsidRPr="0018520B">
        <w:rPr>
          <w:rFonts w:eastAsiaTheme="minorHAnsi" w:hint="eastAsia"/>
          <w:szCs w:val="20"/>
        </w:rPr>
        <w:t>길랭</w:t>
      </w:r>
      <w:proofErr w:type="spellEnd"/>
      <w:r w:rsidR="004F1357" w:rsidRPr="0018520B">
        <w:rPr>
          <w:rFonts w:eastAsiaTheme="minorHAnsi" w:hint="eastAsia"/>
          <w:szCs w:val="20"/>
        </w:rPr>
        <w:t>-</w:t>
      </w:r>
      <w:proofErr w:type="spellStart"/>
      <w:r w:rsidR="004F1357" w:rsidRPr="0018520B">
        <w:rPr>
          <w:rFonts w:eastAsiaTheme="minorHAnsi" w:hint="eastAsia"/>
          <w:szCs w:val="20"/>
        </w:rPr>
        <w:t>바레</w:t>
      </w:r>
      <w:proofErr w:type="spellEnd"/>
      <w:r w:rsidR="004F1357" w:rsidRPr="0018520B">
        <w:rPr>
          <w:rFonts w:eastAsiaTheme="minorHAnsi" w:hint="eastAsia"/>
          <w:szCs w:val="20"/>
        </w:rPr>
        <w:t xml:space="preserve"> 증후군 </w:t>
      </w:r>
      <w:r w:rsidR="004F1357" w:rsidRPr="0018520B">
        <w:rPr>
          <w:rFonts w:eastAsiaTheme="minorHAnsi"/>
          <w:szCs w:val="20"/>
        </w:rPr>
        <w:t>(</w:t>
      </w:r>
      <w:r w:rsidR="004F1357" w:rsidRPr="0018520B">
        <w:rPr>
          <w:rFonts w:eastAsiaTheme="minorHAnsi" w:hint="eastAsia"/>
          <w:szCs w:val="20"/>
        </w:rPr>
        <w:t xml:space="preserve">대조군)과의 비교분석 시행 </w:t>
      </w:r>
    </w:p>
    <w:p w:rsidR="008F420F" w:rsidRPr="0018520B" w:rsidRDefault="008F420F" w:rsidP="000B4FDA">
      <w:pPr>
        <w:spacing w:line="240" w:lineRule="auto"/>
        <w:ind w:left="800"/>
        <w:rPr>
          <w:rFonts w:eastAsiaTheme="minorHAnsi"/>
          <w:szCs w:val="20"/>
        </w:rPr>
      </w:pPr>
      <w:r w:rsidRPr="0018520B">
        <w:rPr>
          <w:rFonts w:eastAsiaTheme="minorHAnsi" w:hint="eastAsia"/>
          <w:szCs w:val="20"/>
        </w:rPr>
        <w:t>-</w:t>
      </w:r>
      <w:r w:rsidRPr="0018520B">
        <w:rPr>
          <w:rFonts w:eastAsiaTheme="minorHAnsi"/>
          <w:szCs w:val="20"/>
        </w:rPr>
        <w:t xml:space="preserve"> </w:t>
      </w:r>
      <w:r w:rsidRPr="0018520B">
        <w:rPr>
          <w:rFonts w:eastAsiaTheme="minorHAnsi" w:hint="eastAsia"/>
          <w:szCs w:val="20"/>
        </w:rPr>
        <w:t xml:space="preserve">연구자 보고로 수집된 자료를 이용한 </w:t>
      </w:r>
      <w:r w:rsidRPr="0018520B">
        <w:rPr>
          <w:rFonts w:eastAsiaTheme="minorHAnsi"/>
          <w:szCs w:val="20"/>
        </w:rPr>
        <w:t>COVID-19</w:t>
      </w:r>
      <w:r w:rsidRPr="0018520B">
        <w:rPr>
          <w:rFonts w:eastAsiaTheme="minorHAnsi" w:hint="eastAsia"/>
          <w:szCs w:val="20"/>
        </w:rPr>
        <w:t>유행기간/</w:t>
      </w:r>
      <w:r w:rsidRPr="0018520B">
        <w:rPr>
          <w:rFonts w:eastAsiaTheme="minorHAnsi"/>
          <w:szCs w:val="20"/>
        </w:rPr>
        <w:t>COVID-19</w:t>
      </w:r>
      <w:r w:rsidRPr="0018520B">
        <w:rPr>
          <w:rFonts w:eastAsiaTheme="minorHAnsi" w:hint="eastAsia"/>
          <w:szCs w:val="20"/>
        </w:rPr>
        <w:t xml:space="preserve">유행 이전 기간 </w:t>
      </w:r>
      <w:proofErr w:type="spellStart"/>
      <w:r w:rsidRPr="0018520B">
        <w:rPr>
          <w:rFonts w:eastAsiaTheme="minorHAnsi" w:hint="eastAsia"/>
          <w:szCs w:val="20"/>
        </w:rPr>
        <w:t>길랭</w:t>
      </w:r>
      <w:proofErr w:type="spellEnd"/>
      <w:r w:rsidRPr="0018520B">
        <w:rPr>
          <w:rFonts w:eastAsiaTheme="minorHAnsi" w:hint="eastAsia"/>
          <w:szCs w:val="20"/>
        </w:rPr>
        <w:t>-</w:t>
      </w:r>
      <w:proofErr w:type="spellStart"/>
      <w:r w:rsidRPr="0018520B">
        <w:rPr>
          <w:rFonts w:eastAsiaTheme="minorHAnsi" w:hint="eastAsia"/>
          <w:szCs w:val="20"/>
        </w:rPr>
        <w:t>바레</w:t>
      </w:r>
      <w:proofErr w:type="spellEnd"/>
      <w:r w:rsidRPr="0018520B">
        <w:rPr>
          <w:rFonts w:eastAsiaTheme="minorHAnsi" w:hint="eastAsia"/>
          <w:szCs w:val="20"/>
        </w:rPr>
        <w:t xml:space="preserve"> 증후군 </w:t>
      </w:r>
      <w:r w:rsidRPr="0018520B">
        <w:rPr>
          <w:rFonts w:eastAsiaTheme="minorHAnsi"/>
          <w:szCs w:val="20"/>
        </w:rPr>
        <w:t>(</w:t>
      </w:r>
      <w:r w:rsidRPr="0018520B">
        <w:rPr>
          <w:rFonts w:eastAsiaTheme="minorHAnsi" w:hint="eastAsia"/>
          <w:szCs w:val="20"/>
        </w:rPr>
        <w:t xml:space="preserve">또는 </w:t>
      </w:r>
      <w:r w:rsidRPr="0018520B">
        <w:rPr>
          <w:rFonts w:eastAsiaTheme="minorHAnsi"/>
          <w:szCs w:val="20"/>
        </w:rPr>
        <w:t xml:space="preserve">Parsonage-Turner </w:t>
      </w:r>
      <w:r w:rsidRPr="0018520B">
        <w:rPr>
          <w:rFonts w:eastAsiaTheme="minorHAnsi" w:hint="eastAsia"/>
          <w:szCs w:val="20"/>
        </w:rPr>
        <w:t>증후군)</w:t>
      </w:r>
      <w:r w:rsidRPr="0018520B">
        <w:rPr>
          <w:rFonts w:eastAsiaTheme="minorHAnsi"/>
          <w:szCs w:val="20"/>
        </w:rPr>
        <w:t xml:space="preserve"> </w:t>
      </w:r>
      <w:r w:rsidRPr="0018520B">
        <w:rPr>
          <w:rFonts w:eastAsiaTheme="minorHAnsi" w:hint="eastAsia"/>
          <w:szCs w:val="20"/>
        </w:rPr>
        <w:t xml:space="preserve">발생률 계산 모델 구축 및 발생률 산정 </w:t>
      </w:r>
    </w:p>
    <w:p w:rsidR="008F420F" w:rsidRPr="0018520B" w:rsidRDefault="008F420F" w:rsidP="000B4FDA">
      <w:pPr>
        <w:spacing w:line="240" w:lineRule="auto"/>
        <w:ind w:firstLine="800"/>
        <w:rPr>
          <w:rFonts w:eastAsiaTheme="minorHAnsi"/>
          <w:szCs w:val="20"/>
        </w:rPr>
      </w:pPr>
      <w:r w:rsidRPr="0018520B">
        <w:rPr>
          <w:rFonts w:eastAsiaTheme="minorHAnsi"/>
          <w:szCs w:val="20"/>
        </w:rPr>
        <w:t>∙ COVID-19 유행 이전 기간: 2019.1월 –2019년 12월 (Reference period)</w:t>
      </w:r>
    </w:p>
    <w:p w:rsidR="008F420F" w:rsidRPr="0018520B" w:rsidRDefault="008F420F" w:rsidP="000B4FDA">
      <w:pPr>
        <w:spacing w:line="240" w:lineRule="auto"/>
        <w:ind w:firstLine="800"/>
        <w:rPr>
          <w:rFonts w:eastAsiaTheme="minorHAnsi"/>
          <w:szCs w:val="20"/>
        </w:rPr>
      </w:pPr>
      <w:r w:rsidRPr="0018520B">
        <w:rPr>
          <w:rFonts w:eastAsiaTheme="minorHAnsi"/>
          <w:szCs w:val="20"/>
        </w:rPr>
        <w:t>∙</w:t>
      </w:r>
      <w:r w:rsidRPr="0018520B">
        <w:rPr>
          <w:rFonts w:eastAsiaTheme="minorHAnsi" w:hint="eastAsia"/>
          <w:szCs w:val="20"/>
        </w:rPr>
        <w:t xml:space="preserve"> </w:t>
      </w:r>
      <w:r w:rsidRPr="0018520B">
        <w:rPr>
          <w:rFonts w:eastAsiaTheme="minorHAnsi"/>
          <w:szCs w:val="20"/>
        </w:rPr>
        <w:t>COVID-19 유행 기간: 2020년 1월 – 2022년 12월</w:t>
      </w:r>
    </w:p>
    <w:p w:rsidR="008F420F" w:rsidRPr="0018520B" w:rsidRDefault="008F420F" w:rsidP="0018520B">
      <w:pPr>
        <w:spacing w:line="240" w:lineRule="auto"/>
        <w:rPr>
          <w:rFonts w:eastAsiaTheme="minorHAnsi"/>
          <w:szCs w:val="20"/>
        </w:rPr>
      </w:pPr>
      <w:r w:rsidRPr="0018520B">
        <w:rPr>
          <w:rFonts w:eastAsiaTheme="minorHAnsi"/>
          <w:szCs w:val="20"/>
        </w:rPr>
        <w:t>∙</w:t>
      </w:r>
      <w:r w:rsidRPr="0018520B">
        <w:rPr>
          <w:rFonts w:eastAsiaTheme="minorHAnsi" w:hint="eastAsia"/>
          <w:szCs w:val="20"/>
        </w:rPr>
        <w:t xml:space="preserve"> </w:t>
      </w:r>
      <w:r w:rsidRPr="0018520B">
        <w:rPr>
          <w:rFonts w:eastAsiaTheme="minorHAnsi"/>
          <w:szCs w:val="20"/>
        </w:rPr>
        <w:t xml:space="preserve">COVID-19 유행 이전 기간과 유행 기간 </w:t>
      </w:r>
      <w:proofErr w:type="spellStart"/>
      <w:r w:rsidRPr="0018520B">
        <w:rPr>
          <w:rFonts w:eastAsiaTheme="minorHAnsi"/>
          <w:szCs w:val="20"/>
        </w:rPr>
        <w:t>길랭</w:t>
      </w:r>
      <w:proofErr w:type="spellEnd"/>
      <w:r w:rsidRPr="0018520B">
        <w:rPr>
          <w:rFonts w:eastAsiaTheme="minorHAnsi"/>
          <w:szCs w:val="20"/>
        </w:rPr>
        <w:t>-</w:t>
      </w:r>
      <w:proofErr w:type="spellStart"/>
      <w:r w:rsidRPr="0018520B">
        <w:rPr>
          <w:rFonts w:eastAsiaTheme="minorHAnsi"/>
          <w:szCs w:val="20"/>
        </w:rPr>
        <w:t>바레</w:t>
      </w:r>
      <w:proofErr w:type="spellEnd"/>
      <w:r w:rsidRPr="0018520B">
        <w:rPr>
          <w:rFonts w:eastAsiaTheme="minorHAnsi"/>
          <w:szCs w:val="20"/>
        </w:rPr>
        <w:t xml:space="preserve"> 증후군 (또는 Parsonage-Turner 증후군) 인구학적, 임상적 특성 비교</w:t>
      </w:r>
    </w:p>
    <w:p w:rsidR="008F420F" w:rsidRPr="0018520B" w:rsidRDefault="008F420F" w:rsidP="0018520B">
      <w:pPr>
        <w:spacing w:line="240" w:lineRule="auto"/>
        <w:rPr>
          <w:rFonts w:eastAsiaTheme="minorHAnsi"/>
          <w:szCs w:val="20"/>
        </w:rPr>
      </w:pPr>
      <w:r w:rsidRPr="0018520B">
        <w:rPr>
          <w:rFonts w:eastAsiaTheme="minorHAnsi"/>
          <w:szCs w:val="20"/>
        </w:rPr>
        <w:t>∙</w:t>
      </w:r>
      <w:r w:rsidRPr="0018520B">
        <w:rPr>
          <w:rFonts w:eastAsiaTheme="minorHAnsi" w:hint="eastAsia"/>
          <w:szCs w:val="20"/>
        </w:rPr>
        <w:t xml:space="preserve"> </w:t>
      </w:r>
      <w:r w:rsidRPr="0018520B">
        <w:rPr>
          <w:rFonts w:eastAsiaTheme="minorHAnsi"/>
          <w:szCs w:val="20"/>
        </w:rPr>
        <w:t xml:space="preserve">COVID-19 유행 기간/COVID-19 유행 이전 기간 </w:t>
      </w:r>
      <w:proofErr w:type="spellStart"/>
      <w:r w:rsidRPr="0018520B">
        <w:rPr>
          <w:rFonts w:eastAsiaTheme="minorHAnsi"/>
          <w:szCs w:val="20"/>
        </w:rPr>
        <w:t>길랭</w:t>
      </w:r>
      <w:proofErr w:type="spellEnd"/>
      <w:r w:rsidRPr="0018520B">
        <w:rPr>
          <w:rFonts w:eastAsiaTheme="minorHAnsi"/>
          <w:szCs w:val="20"/>
        </w:rPr>
        <w:t>-</w:t>
      </w:r>
      <w:proofErr w:type="spellStart"/>
      <w:r w:rsidRPr="0018520B">
        <w:rPr>
          <w:rFonts w:eastAsiaTheme="minorHAnsi"/>
          <w:szCs w:val="20"/>
        </w:rPr>
        <w:t>바레</w:t>
      </w:r>
      <w:proofErr w:type="spellEnd"/>
      <w:r w:rsidRPr="0018520B">
        <w:rPr>
          <w:rFonts w:eastAsiaTheme="minorHAnsi"/>
          <w:szCs w:val="20"/>
        </w:rPr>
        <w:t xml:space="preserve"> 증후군 연간 발생률 산출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① 수집된 COVID-19 유행 기간/COVID-19 유행 이전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전체 수 및 등록 기관 확인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② 2017년 1월부터 ~ 2019년 12월 기간 동안 심사평가원에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산정특례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코드 (V126) 신규 환자로 청구된 전체 수 및 전국 신규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청구 환자 수에서 등록 기관의 청구 비중 확인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③ 2019년 1월 이후 수집된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길랑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환자 수를 ② 로 확인한 등록 병원의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신규 청구 비율 고려 전국 신규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전체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발생수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추청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④ 심사평가원 자료를 이용하여 설정한 COVID-19 유행 이전 기간/COVID-19 유행 기간 동안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바레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증후군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산정특례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코드 (V126)로 입원한 환자 (2단계 분석에 적용하는 Washout period, 대상자 선정 및 제외 기준 동일 적용)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전체수와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비교하여 validation. 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임상전문가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및 역학 전문가 구성 패널 토의 및 관련 자문을 통해 수집된 자료를 이용 적합한 발생률 평가 모델 구축 및 분석 방법 보정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eastAsiaTheme="minorHAnsi"/>
          <w:szCs w:val="20"/>
        </w:rPr>
        <w:t>∙</w:t>
      </w:r>
      <w:r>
        <w:rPr>
          <w:rFonts w:eastAsiaTheme="minorHAnsi"/>
          <w:szCs w:val="20"/>
        </w:rPr>
        <w:t xml:space="preserve"> </w:t>
      </w: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COVID-19 백신과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길랭바레증후군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(또는 Parsonage-Turner 증후군) 발생 연관성 평가 모델 구축 및 평가 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임상전문가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및 역학 전문가 구성 패널 토의 및 관련 자문을 통해 수집된 자료에 적합한 연관성 평가 모델 구축</w:t>
      </w:r>
    </w:p>
    <w:p w:rsid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COVID-19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유행기간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-백신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비접종기간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(2020년 5월-2021년 4월) 과 COVID-19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유행기간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-백신 </w:t>
      </w:r>
      <w:proofErr w:type="spellStart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>접종기간</w:t>
      </w:r>
      <w:proofErr w:type="spellEnd"/>
      <w:r w:rsidRPr="001852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(2021년 5월-2022년 4월) 으로 구분하여 single 및 unconstrained distributed lag model (Schwartz J. 2000) 적용</w:t>
      </w:r>
    </w:p>
    <w:p w:rsidR="0018520B" w:rsidRPr="0018520B" w:rsidRDefault="0018520B" w:rsidP="0018520B">
      <w:pPr>
        <w:wordWrap/>
        <w:snapToGrid w:val="0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4F1357" w:rsidRPr="0018520B" w:rsidRDefault="0018520B" w:rsidP="00460082">
      <w:pPr>
        <w:pStyle w:val="a9"/>
        <w:wordWrap/>
        <w:spacing w:line="240" w:lineRule="auto"/>
        <w:rPr>
          <w:rFonts w:eastAsiaTheme="minorHAnsi"/>
          <w:b/>
          <w:u w:val="single"/>
        </w:rPr>
      </w:pPr>
      <w:r w:rsidRPr="0018520B">
        <w:rPr>
          <w:rFonts w:asciiTheme="minorHAnsi" w:eastAsiaTheme="minorHAnsi" w:hAnsiTheme="minorHAnsi" w:hint="eastAsia"/>
          <w:b/>
          <w:u w:val="single"/>
        </w:rPr>
        <w:t>(2</w:t>
      </w:r>
      <w:r>
        <w:rPr>
          <w:rFonts w:asciiTheme="minorHAnsi" w:eastAsiaTheme="minorHAnsi" w:hAnsiTheme="minorHAnsi" w:hint="eastAsia"/>
          <w:b/>
          <w:u w:val="single"/>
        </w:rPr>
        <w:t xml:space="preserve">) </w:t>
      </w:r>
      <w:r w:rsidR="004F1357" w:rsidRPr="0018520B">
        <w:rPr>
          <w:rFonts w:asciiTheme="minorHAnsi" w:eastAsiaTheme="minorHAnsi" w:hAnsiTheme="minorHAnsi" w:hint="eastAsia"/>
          <w:b/>
          <w:u w:val="single"/>
        </w:rPr>
        <w:t xml:space="preserve">2단계 </w:t>
      </w:r>
      <w:r w:rsidR="004F1357" w:rsidRPr="0018520B">
        <w:rPr>
          <w:rFonts w:asciiTheme="minorHAnsi" w:eastAsiaTheme="minorHAnsi" w:hAnsiTheme="minorHAnsi"/>
          <w:b/>
          <w:u w:val="single"/>
        </w:rPr>
        <w:t xml:space="preserve">: </w:t>
      </w:r>
      <w:r w:rsidRPr="0018520B">
        <w:rPr>
          <w:rFonts w:asciiTheme="minorHAnsi" w:eastAsiaTheme="minorHAnsi" w:hAnsiTheme="minorHAnsi" w:hint="eastAsia"/>
          <w:b/>
          <w:bCs/>
        </w:rPr>
        <w:t xml:space="preserve">심사평가원 및 </w:t>
      </w:r>
      <w:proofErr w:type="spellStart"/>
      <w:r w:rsidRPr="0018520B">
        <w:rPr>
          <w:rFonts w:asciiTheme="minorHAnsi" w:eastAsiaTheme="minorHAnsi" w:hAnsiTheme="minorHAnsi" w:hint="eastAsia"/>
          <w:b/>
          <w:bCs/>
        </w:rPr>
        <w:t>질병관리청</w:t>
      </w:r>
      <w:proofErr w:type="spellEnd"/>
      <w:r w:rsidRPr="0018520B">
        <w:rPr>
          <w:rFonts w:asciiTheme="minorHAnsi" w:eastAsiaTheme="minorHAnsi" w:hAnsiTheme="minorHAnsi" w:hint="eastAsia"/>
          <w:b/>
          <w:bCs/>
        </w:rPr>
        <w:t xml:space="preserve"> 예방접종등록시스템 빅데이터를 이용한 연관성 조사 연계 </w:t>
      </w:r>
      <w:r w:rsidRPr="0018520B">
        <w:rPr>
          <w:rFonts w:asciiTheme="minorHAnsi" w:eastAsiaTheme="minorHAnsi" w:hAnsiTheme="minorHAnsi" w:hint="eastAsia"/>
          <w:b/>
          <w:bCs/>
        </w:rPr>
        <w:lastRenderedPageBreak/>
        <w:t>기틀 마련</w:t>
      </w:r>
    </w:p>
    <w:p w:rsidR="004F1357" w:rsidRPr="00D50E58" w:rsidRDefault="00D50E58" w:rsidP="00A80D59">
      <w:pPr>
        <w:ind w:leftChars="400" w:left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4F1357" w:rsidRPr="00D50E58">
        <w:rPr>
          <w:rFonts w:eastAsiaTheme="minorHAnsi"/>
          <w:szCs w:val="20"/>
        </w:rPr>
        <w:t xml:space="preserve">심사평가원 및 </w:t>
      </w:r>
      <w:proofErr w:type="spellStart"/>
      <w:r w:rsidR="004F1357" w:rsidRPr="00D50E58">
        <w:rPr>
          <w:rFonts w:eastAsiaTheme="minorHAnsi"/>
          <w:szCs w:val="20"/>
        </w:rPr>
        <w:t>질병관리청</w:t>
      </w:r>
      <w:proofErr w:type="spellEnd"/>
      <w:r w:rsidR="004F1357" w:rsidRPr="00D50E58">
        <w:rPr>
          <w:rFonts w:eastAsiaTheme="minorHAnsi"/>
          <w:szCs w:val="20"/>
        </w:rPr>
        <w:t xml:space="preserve"> 예방접종등록시스템 빅데이터 </w:t>
      </w:r>
      <w:proofErr w:type="spellStart"/>
      <w:r w:rsidR="004F1357" w:rsidRPr="00D50E58">
        <w:rPr>
          <w:rFonts w:eastAsiaTheme="minorHAnsi"/>
          <w:szCs w:val="20"/>
        </w:rPr>
        <w:t>산출시</w:t>
      </w:r>
      <w:proofErr w:type="spellEnd"/>
      <w:r w:rsidR="004F1357" w:rsidRPr="00D50E58">
        <w:rPr>
          <w:rFonts w:eastAsiaTheme="minorHAnsi"/>
          <w:szCs w:val="20"/>
        </w:rPr>
        <w:t xml:space="preserve"> </w:t>
      </w:r>
      <w:proofErr w:type="gramStart"/>
      <w:r w:rsidR="004F1357" w:rsidRPr="00D50E58">
        <w:rPr>
          <w:rFonts w:eastAsiaTheme="minorHAnsi"/>
          <w:szCs w:val="20"/>
        </w:rPr>
        <w:t>정의</w:t>
      </w:r>
      <w:r>
        <w:rPr>
          <w:rFonts w:eastAsiaTheme="minorHAnsi" w:hint="eastAsia"/>
          <w:szCs w:val="20"/>
        </w:rPr>
        <w:t xml:space="preserve"> :</w:t>
      </w:r>
      <w:proofErr w:type="gramEnd"/>
      <w:r w:rsidR="004F1357" w:rsidRPr="00D50E58">
        <w:rPr>
          <w:rFonts w:eastAsiaTheme="minorHAnsi"/>
          <w:szCs w:val="20"/>
        </w:rPr>
        <w:t xml:space="preserve"> 국내에서는 2006년 이후 </w:t>
      </w:r>
      <w:proofErr w:type="spellStart"/>
      <w:r w:rsidR="004F1357" w:rsidRPr="00D50E58">
        <w:rPr>
          <w:rFonts w:eastAsiaTheme="minorHAnsi"/>
          <w:szCs w:val="20"/>
        </w:rPr>
        <w:t>길랭</w:t>
      </w:r>
      <w:proofErr w:type="spellEnd"/>
      <w:r w:rsidR="004F1357" w:rsidRPr="00D50E58">
        <w:rPr>
          <w:rFonts w:eastAsiaTheme="minorHAnsi"/>
          <w:szCs w:val="20"/>
        </w:rPr>
        <w:t>-</w:t>
      </w:r>
      <w:proofErr w:type="spellStart"/>
      <w:r w:rsidR="004F1357" w:rsidRPr="00D50E58">
        <w:rPr>
          <w:rFonts w:eastAsiaTheme="minorHAnsi"/>
          <w:szCs w:val="20"/>
        </w:rPr>
        <w:t>바레</w:t>
      </w:r>
      <w:proofErr w:type="spellEnd"/>
      <w:r w:rsidR="004F1357" w:rsidRPr="00D50E58">
        <w:rPr>
          <w:rFonts w:eastAsiaTheme="minorHAnsi"/>
          <w:szCs w:val="20"/>
        </w:rPr>
        <w:t xml:space="preserve"> 증후군을 중증질환 및 희귀·중증난치질환자 </w:t>
      </w:r>
      <w:proofErr w:type="spellStart"/>
      <w:r w:rsidR="004F1357" w:rsidRPr="00D50E58">
        <w:rPr>
          <w:rFonts w:eastAsiaTheme="minorHAnsi"/>
          <w:szCs w:val="20"/>
        </w:rPr>
        <w:t>산정특례</w:t>
      </w:r>
      <w:proofErr w:type="spellEnd"/>
      <w:r w:rsidR="004F1357" w:rsidRPr="00D50E58">
        <w:rPr>
          <w:rFonts w:eastAsiaTheme="minorHAnsi"/>
          <w:szCs w:val="20"/>
        </w:rPr>
        <w:t xml:space="preserve"> 질환으로 지정하여 </w:t>
      </w:r>
      <w:proofErr w:type="spellStart"/>
      <w:r w:rsidR="004F1357" w:rsidRPr="00D50E58">
        <w:rPr>
          <w:rFonts w:eastAsiaTheme="minorHAnsi"/>
          <w:szCs w:val="20"/>
        </w:rPr>
        <w:t>진단기준에</w:t>
      </w:r>
      <w:proofErr w:type="spellEnd"/>
      <w:r w:rsidR="004F1357" w:rsidRPr="00D50E58">
        <w:rPr>
          <w:rFonts w:eastAsiaTheme="minorHAnsi"/>
          <w:szCs w:val="20"/>
        </w:rPr>
        <w:t xml:space="preserve"> 부합한 통일된 서류를 </w:t>
      </w:r>
      <w:proofErr w:type="spellStart"/>
      <w:r w:rsidR="004F1357" w:rsidRPr="00D50E58">
        <w:rPr>
          <w:rFonts w:eastAsiaTheme="minorHAnsi"/>
          <w:szCs w:val="20"/>
        </w:rPr>
        <w:t>임상의에게</w:t>
      </w:r>
      <w:proofErr w:type="spellEnd"/>
      <w:r w:rsidR="004F1357" w:rsidRPr="00D50E58">
        <w:rPr>
          <w:rFonts w:eastAsiaTheme="minorHAnsi"/>
          <w:szCs w:val="20"/>
        </w:rPr>
        <w:t xml:space="preserve"> 배부하여 기준에 맞춰 작성하도록 하고, 등록 기관 담당자의 재검토하여 등록하는 엄격한 기준에 의해 </w:t>
      </w:r>
      <w:proofErr w:type="spellStart"/>
      <w:r w:rsidR="004F1357" w:rsidRPr="00D50E58">
        <w:rPr>
          <w:rFonts w:eastAsiaTheme="minorHAnsi"/>
          <w:szCs w:val="20"/>
        </w:rPr>
        <w:t>산정특례</w:t>
      </w:r>
      <w:proofErr w:type="spellEnd"/>
      <w:r w:rsidR="004F1357" w:rsidRPr="00D50E58">
        <w:rPr>
          <w:rFonts w:eastAsiaTheme="minorHAnsi"/>
          <w:szCs w:val="20"/>
        </w:rPr>
        <w:t xml:space="preserve"> 코드를 등록 관리되고 있음. 따라서 International classification of disease (ICD)-10th code 에 의한 분류보다 산정특례코드를 이용한 질환 </w:t>
      </w:r>
      <w:proofErr w:type="spellStart"/>
      <w:r w:rsidR="004F1357" w:rsidRPr="00D50E58">
        <w:rPr>
          <w:rFonts w:eastAsiaTheme="minorHAnsi"/>
          <w:szCs w:val="20"/>
        </w:rPr>
        <w:t>분류시</w:t>
      </w:r>
      <w:proofErr w:type="spellEnd"/>
      <w:r w:rsidR="004F1357" w:rsidRPr="00D50E58">
        <w:rPr>
          <w:rFonts w:eastAsiaTheme="minorHAnsi"/>
          <w:szCs w:val="20"/>
        </w:rPr>
        <w:t xml:space="preserve"> 관련 빅데이</w:t>
      </w:r>
      <w:r w:rsidR="004F1357" w:rsidRPr="00D50E58">
        <w:rPr>
          <w:rFonts w:eastAsiaTheme="minorHAnsi" w:hint="eastAsia"/>
          <w:szCs w:val="20"/>
        </w:rPr>
        <w:t>터</w:t>
      </w:r>
      <w:r w:rsidR="004F1357" w:rsidRPr="00D50E58">
        <w:rPr>
          <w:rFonts w:eastAsiaTheme="minorHAnsi"/>
          <w:szCs w:val="20"/>
        </w:rPr>
        <w:t xml:space="preserve"> 연구에서 가장 </w:t>
      </w:r>
      <w:proofErr w:type="spellStart"/>
      <w:r w:rsidR="004F1357" w:rsidRPr="00D50E58">
        <w:rPr>
          <w:rFonts w:eastAsiaTheme="minorHAnsi"/>
          <w:szCs w:val="20"/>
        </w:rPr>
        <w:t>길랭</w:t>
      </w:r>
      <w:proofErr w:type="spellEnd"/>
      <w:r w:rsidR="004F1357" w:rsidRPr="00D50E58">
        <w:rPr>
          <w:rFonts w:eastAsiaTheme="minorHAnsi"/>
          <w:szCs w:val="20"/>
        </w:rPr>
        <w:t>-</w:t>
      </w:r>
      <w:proofErr w:type="spellStart"/>
      <w:r w:rsidR="004F1357" w:rsidRPr="00D50E58">
        <w:rPr>
          <w:rFonts w:eastAsiaTheme="minorHAnsi"/>
          <w:szCs w:val="20"/>
        </w:rPr>
        <w:t>바레</w:t>
      </w:r>
      <w:proofErr w:type="spellEnd"/>
      <w:r w:rsidR="004F1357" w:rsidRPr="00D50E58">
        <w:rPr>
          <w:rFonts w:eastAsiaTheme="minorHAnsi"/>
          <w:szCs w:val="20"/>
        </w:rPr>
        <w:t xml:space="preserve"> 증후군 </w:t>
      </w:r>
      <w:proofErr w:type="spellStart"/>
      <w:r w:rsidR="004F1357" w:rsidRPr="00D50E58">
        <w:rPr>
          <w:rFonts w:eastAsiaTheme="minorHAnsi"/>
          <w:szCs w:val="20"/>
        </w:rPr>
        <w:t>확진자에</w:t>
      </w:r>
      <w:proofErr w:type="spellEnd"/>
      <w:r w:rsidR="004F1357" w:rsidRPr="00D50E58">
        <w:rPr>
          <w:rFonts w:eastAsiaTheme="minorHAnsi"/>
          <w:szCs w:val="20"/>
        </w:rPr>
        <w:t xml:space="preserve"> 근접한 결과를 산출할 수 있음.</w:t>
      </w:r>
    </w:p>
    <w:p w:rsidR="004F1357" w:rsidRPr="00D50E58" w:rsidRDefault="00D50E58" w:rsidP="00D50E58">
      <w:pPr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 w:rsidR="004F1357" w:rsidRPr="00D50E58">
        <w:rPr>
          <w:rFonts w:eastAsiaTheme="minorHAnsi"/>
          <w:szCs w:val="20"/>
        </w:rPr>
        <w:t xml:space="preserve">2019년 1월부터 </w:t>
      </w:r>
      <w:r>
        <w:rPr>
          <w:rFonts w:eastAsiaTheme="minorHAnsi"/>
          <w:szCs w:val="20"/>
        </w:rPr>
        <w:t>2022</w:t>
      </w:r>
      <w:r>
        <w:rPr>
          <w:rFonts w:eastAsiaTheme="minorHAnsi" w:hint="eastAsia"/>
          <w:szCs w:val="20"/>
        </w:rPr>
        <w:t xml:space="preserve">년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월까지 </w:t>
      </w:r>
      <w:proofErr w:type="spellStart"/>
      <w:r w:rsidR="004F1357" w:rsidRPr="00D50E58">
        <w:rPr>
          <w:rFonts w:eastAsiaTheme="minorHAnsi"/>
          <w:szCs w:val="20"/>
        </w:rPr>
        <w:t>길랭</w:t>
      </w:r>
      <w:proofErr w:type="spellEnd"/>
      <w:r w:rsidR="004F1357" w:rsidRPr="00D50E58">
        <w:rPr>
          <w:rFonts w:eastAsiaTheme="minorHAnsi"/>
          <w:szCs w:val="20"/>
        </w:rPr>
        <w:t>-</w:t>
      </w:r>
      <w:proofErr w:type="spellStart"/>
      <w:r w:rsidR="004F1357" w:rsidRPr="00D50E58">
        <w:rPr>
          <w:rFonts w:eastAsiaTheme="minorHAnsi"/>
          <w:szCs w:val="20"/>
        </w:rPr>
        <w:t>바레</w:t>
      </w:r>
      <w:proofErr w:type="spellEnd"/>
      <w:r w:rsidR="004F1357" w:rsidRPr="00D50E58">
        <w:rPr>
          <w:rFonts w:eastAsiaTheme="minorHAnsi"/>
          <w:szCs w:val="20"/>
        </w:rPr>
        <w:t xml:space="preserve"> 증후군 </w:t>
      </w:r>
      <w:proofErr w:type="spellStart"/>
      <w:r w:rsidR="004F1357" w:rsidRPr="00D50E58">
        <w:rPr>
          <w:rFonts w:eastAsiaTheme="minorHAnsi"/>
          <w:szCs w:val="20"/>
        </w:rPr>
        <w:t>산정특례</w:t>
      </w:r>
      <w:proofErr w:type="spellEnd"/>
      <w:r w:rsidR="004F1357" w:rsidRPr="00D50E58">
        <w:rPr>
          <w:rFonts w:eastAsiaTheme="minorHAnsi"/>
          <w:szCs w:val="20"/>
        </w:rPr>
        <w:t xml:space="preserve"> 코드(V126)로 입원한 환자</w:t>
      </w:r>
    </w:p>
    <w:p w:rsidR="00A80D59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Washout period: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International classification of disease (ICD)-10th code 진단 코드(G 61.0) 또는 산정특례 코드 (V126)로 최초 입원일자 기준 1년</w:t>
      </w:r>
    </w:p>
    <w:p w:rsidR="004F1357" w:rsidRPr="004F1357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>- Washout Period 기간 동안 ICD-10 진단 코드(G 61.0) 또는 산정특례 코드 (V126) 외래 또는 입원 진료한 자 제외</w:t>
      </w:r>
    </w:p>
    <w:p w:rsidR="004F1357" w:rsidRPr="00A80D59" w:rsidRDefault="004F1357" w:rsidP="00A80D59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ICD-10 진단 코드(G 61.0) 또는 산정특례 코드 (V126)로 최초 입원일자 기준 1달 이내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ICD-10 진단 코드(G 61.0) 또는 산정특례 코드 (V126) 또는 다발신경병증 (ICD-10 code G61.8 G61.9, G62.8, G62.9)로 외래 또는 입원 진료한 환자는 신규 발병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</w:t>
      </w:r>
      <w:proofErr w:type="spellStart"/>
      <w:r w:rsidRPr="004F1357">
        <w:rPr>
          <w:rFonts w:eastAsiaTheme="minorHAnsi"/>
          <w:szCs w:val="20"/>
        </w:rPr>
        <w:t>증후군와</w:t>
      </w:r>
      <w:proofErr w:type="spellEnd"/>
      <w:r w:rsidRPr="004F1357">
        <w:rPr>
          <w:rFonts w:eastAsiaTheme="minorHAnsi"/>
          <w:szCs w:val="20"/>
        </w:rPr>
        <w:t xml:space="preserve"> 연관된 치료 가능성이 높으므로 포함함.</w:t>
      </w:r>
    </w:p>
    <w:p w:rsidR="004F1357" w:rsidRPr="00A80D59" w:rsidRDefault="00D50E58" w:rsidP="00A80D59">
      <w:pPr>
        <w:ind w:firstLineChars="400" w:firstLine="800"/>
        <w:rPr>
          <w:rFonts w:eastAsiaTheme="minorHAnsi"/>
          <w:szCs w:val="20"/>
        </w:rPr>
      </w:pPr>
      <w:r w:rsidRPr="00A80D59">
        <w:rPr>
          <w:rFonts w:eastAsiaTheme="minorHAnsi"/>
          <w:szCs w:val="20"/>
        </w:rPr>
        <w:t>*</w:t>
      </w:r>
      <w:r w:rsidR="004F1357" w:rsidRPr="00A80D59">
        <w:rPr>
          <w:rFonts w:eastAsiaTheme="minorHAnsi"/>
          <w:szCs w:val="20"/>
        </w:rPr>
        <w:t xml:space="preserve"> 발생률 및 연관성 분석 데이터 구성</w:t>
      </w:r>
    </w:p>
    <w:p w:rsidR="004F1357" w:rsidRPr="004F1357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심사평가원 자료에는 의료기관이용력 (질병 ICD-10 코드, 산정특례코드, </w:t>
      </w:r>
      <w:proofErr w:type="spellStart"/>
      <w:r w:rsidRPr="004F1357">
        <w:rPr>
          <w:rFonts w:eastAsiaTheme="minorHAnsi"/>
          <w:szCs w:val="20"/>
        </w:rPr>
        <w:t>방문일자</w:t>
      </w:r>
      <w:proofErr w:type="spellEnd"/>
      <w:r w:rsidRPr="004F1357">
        <w:rPr>
          <w:rFonts w:eastAsiaTheme="minorHAnsi"/>
          <w:szCs w:val="20"/>
        </w:rPr>
        <w:t xml:space="preserve">, 진단검사, 약물 </w:t>
      </w:r>
      <w:proofErr w:type="spellStart"/>
      <w:r w:rsidRPr="004F1357">
        <w:rPr>
          <w:rFonts w:eastAsiaTheme="minorHAnsi"/>
          <w:szCs w:val="20"/>
        </w:rPr>
        <w:t>처방력</w:t>
      </w:r>
      <w:proofErr w:type="spellEnd"/>
      <w:r w:rsidRPr="004F1357">
        <w:rPr>
          <w:rFonts w:eastAsiaTheme="minorHAnsi"/>
          <w:szCs w:val="20"/>
        </w:rPr>
        <w:t xml:space="preserve"> 등)이 포함되어 있으며, 예방접종등록시스템 데이터로는 백신 </w:t>
      </w:r>
      <w:proofErr w:type="spellStart"/>
      <w:r w:rsidRPr="004F1357">
        <w:rPr>
          <w:rFonts w:eastAsiaTheme="minorHAnsi"/>
          <w:szCs w:val="20"/>
        </w:rPr>
        <w:t>접종자의</w:t>
      </w:r>
      <w:proofErr w:type="spellEnd"/>
      <w:r w:rsidRPr="004F1357">
        <w:rPr>
          <w:rFonts w:eastAsiaTheme="minorHAnsi"/>
          <w:szCs w:val="20"/>
        </w:rPr>
        <w:t xml:space="preserve"> 인구학적 정보 (성, 나이, 거주지역 등), 백신 접종 종류 및 용량, 일자를 확인할 수 있음. </w:t>
      </w:r>
      <w:proofErr w:type="spellStart"/>
      <w:r w:rsidRPr="004F1357">
        <w:rPr>
          <w:rFonts w:eastAsiaTheme="minorHAnsi"/>
          <w:szCs w:val="20"/>
        </w:rPr>
        <w:t>익명화되어</w:t>
      </w:r>
      <w:proofErr w:type="spellEnd"/>
      <w:r w:rsidRPr="004F1357">
        <w:rPr>
          <w:rFonts w:eastAsiaTheme="minorHAnsi"/>
          <w:szCs w:val="20"/>
        </w:rPr>
        <w:t xml:space="preserve"> </w:t>
      </w:r>
      <w:proofErr w:type="spellStart"/>
      <w:r w:rsidRPr="004F1357">
        <w:rPr>
          <w:rFonts w:eastAsiaTheme="minorHAnsi"/>
          <w:szCs w:val="20"/>
        </w:rPr>
        <w:t>개인코드가</w:t>
      </w:r>
      <w:proofErr w:type="spellEnd"/>
      <w:r w:rsidRPr="004F1357">
        <w:rPr>
          <w:rFonts w:eastAsiaTheme="minorHAnsi"/>
          <w:szCs w:val="20"/>
        </w:rPr>
        <w:t xml:space="preserve"> 부여된 2021년 5월부터의 예방접종등록시스템 데이터와 2019년 1월부터 2022년 </w:t>
      </w:r>
      <w:r w:rsidR="00D50E58">
        <w:rPr>
          <w:rFonts w:eastAsiaTheme="minorHAnsi"/>
          <w:szCs w:val="20"/>
        </w:rPr>
        <w:t>2</w:t>
      </w:r>
      <w:r w:rsidRPr="004F1357">
        <w:rPr>
          <w:rFonts w:eastAsiaTheme="minorHAnsi"/>
          <w:szCs w:val="20"/>
        </w:rPr>
        <w:t xml:space="preserve">월까지의 심사평가원 데이터를 매칭(merging) 하여 분석 진행. </w:t>
      </w:r>
    </w:p>
    <w:p w:rsidR="004F1357" w:rsidRPr="004F1357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- 심사평가원 자료에서 COVID-19 백신 </w:t>
      </w:r>
      <w:proofErr w:type="spellStart"/>
      <w:r w:rsidRPr="004F1357">
        <w:rPr>
          <w:rFonts w:eastAsiaTheme="minorHAnsi"/>
          <w:szCs w:val="20"/>
        </w:rPr>
        <w:t>처방력</w:t>
      </w:r>
      <w:proofErr w:type="spellEnd"/>
      <w:r w:rsidRPr="004F1357">
        <w:rPr>
          <w:rFonts w:eastAsiaTheme="minorHAnsi"/>
          <w:szCs w:val="20"/>
        </w:rPr>
        <w:t xml:space="preserve"> 및 일자 확인하여 백신 </w:t>
      </w:r>
      <w:proofErr w:type="spellStart"/>
      <w:r w:rsidRPr="004F1357">
        <w:rPr>
          <w:rFonts w:eastAsiaTheme="minorHAnsi"/>
          <w:szCs w:val="20"/>
        </w:rPr>
        <w:t>접종자</w:t>
      </w:r>
      <w:proofErr w:type="spellEnd"/>
      <w:r w:rsidRPr="004F1357">
        <w:rPr>
          <w:rFonts w:eastAsiaTheme="minorHAnsi"/>
          <w:szCs w:val="20"/>
        </w:rPr>
        <w:t>, 미접종자 구분에 추가 활용</w:t>
      </w:r>
    </w:p>
    <w:p w:rsidR="004F1357" w:rsidRPr="004F1357" w:rsidRDefault="00D50E58" w:rsidP="004F1357">
      <w:pPr>
        <w:pStyle w:val="a7"/>
        <w:rPr>
          <w:rFonts w:eastAsiaTheme="minorHAnsi"/>
          <w:szCs w:val="20"/>
        </w:rPr>
      </w:pPr>
      <w:r>
        <w:rPr>
          <w:rFonts w:eastAsiaTheme="minorHAnsi"/>
          <w:szCs w:val="20"/>
        </w:rPr>
        <w:t>*</w:t>
      </w:r>
      <w:r w:rsidR="004F1357" w:rsidRPr="004F1357">
        <w:rPr>
          <w:rFonts w:eastAsiaTheme="minorHAnsi"/>
          <w:szCs w:val="20"/>
        </w:rPr>
        <w:t xml:space="preserve"> 심사평가원 및 질병관리청 예방접종등록시스템 빅데이터 분석 – </w:t>
      </w:r>
      <w:proofErr w:type="spellStart"/>
      <w:r w:rsidR="004F1357" w:rsidRPr="004F1357">
        <w:rPr>
          <w:rFonts w:eastAsiaTheme="minorHAnsi"/>
          <w:szCs w:val="20"/>
        </w:rPr>
        <w:t>Self controlled</w:t>
      </w:r>
      <w:proofErr w:type="spellEnd"/>
      <w:r w:rsidR="004F1357" w:rsidRPr="004F1357">
        <w:rPr>
          <w:rFonts w:eastAsiaTheme="minorHAnsi"/>
          <w:szCs w:val="20"/>
        </w:rPr>
        <w:t xml:space="preserve"> case series (SCCS) 접근법을 이용한 연관성 분석 </w:t>
      </w:r>
    </w:p>
    <w:p w:rsidR="004F1357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lastRenderedPageBreak/>
        <w:t xml:space="preserve">- </w:t>
      </w:r>
      <w:proofErr w:type="spellStart"/>
      <w:r w:rsidRPr="004F1357">
        <w:rPr>
          <w:rFonts w:eastAsiaTheme="minorHAnsi"/>
          <w:szCs w:val="20"/>
        </w:rPr>
        <w:t>Self controlled</w:t>
      </w:r>
      <w:proofErr w:type="spellEnd"/>
      <w:r w:rsidRPr="004F1357">
        <w:rPr>
          <w:rFonts w:eastAsiaTheme="minorHAnsi"/>
          <w:szCs w:val="20"/>
        </w:rPr>
        <w:t xml:space="preserve"> case series (SCCS) 접근법을 이용한 연관성 분석은 동일 환자에서 위험노출기간(risk period, 백신 </w:t>
      </w:r>
      <w:proofErr w:type="spellStart"/>
      <w:r w:rsidRPr="004F1357">
        <w:rPr>
          <w:rFonts w:eastAsiaTheme="minorHAnsi"/>
          <w:szCs w:val="20"/>
        </w:rPr>
        <w:t>접종후</w:t>
      </w:r>
      <w:proofErr w:type="spellEnd"/>
      <w:r w:rsidRPr="004F1357">
        <w:rPr>
          <w:rFonts w:eastAsiaTheme="minorHAnsi"/>
          <w:szCs w:val="20"/>
        </w:rPr>
        <w:t xml:space="preserve"> 질병 발생 가능한 시기)와 위험비노출기간(non-risk or baseline period, risk period 이외의 시기)를 설정하여 이벤트 발생 빈도를 비교하여 연관성을 확인하는 방법으로 기저질환, 인구사회학적 차이에 의한 혼돈변수(confounding factor)가 자동적으로 조절되는 장</w:t>
      </w:r>
      <w:r w:rsidRPr="004F1357">
        <w:rPr>
          <w:rFonts w:eastAsiaTheme="minorHAnsi" w:hint="eastAsia"/>
          <w:szCs w:val="20"/>
        </w:rPr>
        <w:t>점이</w:t>
      </w:r>
      <w:r w:rsidRPr="004F1357">
        <w:rPr>
          <w:rFonts w:eastAsiaTheme="minorHAnsi"/>
          <w:szCs w:val="20"/>
        </w:rPr>
        <w:t xml:space="preserve"> 있으며, 백신 접종일자와 발병 일자만으로 연관성을 확인할 수 있는 장점이 있어, 여러 공신력 있는 연관성확인 역학 연구에 활용됨. </w:t>
      </w:r>
    </w:p>
    <w:p w:rsidR="00BE0E6A" w:rsidRDefault="002C1507" w:rsidP="00BE0E6A">
      <w:pPr>
        <w:pStyle w:val="a9"/>
        <w:shd w:val="clear" w:color="auto" w:fill="FFFFFF"/>
        <w:snapToGrid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295900" cy="2203450"/>
            <wp:effectExtent l="19050" t="19050" r="19050" b="25400"/>
            <wp:wrapTight wrapText="bothSides">
              <wp:wrapPolygon edited="0">
                <wp:start x="-78" y="-187"/>
                <wp:lineTo x="-78" y="21662"/>
                <wp:lineTo x="21600" y="21662"/>
                <wp:lineTo x="21600" y="-187"/>
                <wp:lineTo x="-78" y="-187"/>
              </wp:wrapPolygon>
            </wp:wrapTight>
            <wp:docPr id="3" name="그림 3" descr="EMB00005bb82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10615392" descr="EMB00005bb82de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03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0E6A" w:rsidRPr="00BE0E6A" w:rsidRDefault="00BE0E6A" w:rsidP="002C1507">
      <w:pPr>
        <w:pStyle w:val="a9"/>
        <w:wordWrap/>
        <w:spacing w:line="240" w:lineRule="auto"/>
        <w:ind w:firstLineChars="400" w:firstLine="800"/>
        <w:rPr>
          <w:sz w:val="16"/>
        </w:rPr>
      </w:pPr>
      <w:r>
        <w:rPr>
          <w:rFonts w:ascii="맑은 고딕" w:eastAsia="맑은 고딕" w:hAnsi="맑은 고딕"/>
          <w:szCs w:val="24"/>
        </w:rPr>
        <w:t>Figure</w:t>
      </w:r>
      <w:r w:rsidRPr="00BE0E6A"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</w:t>
      </w:r>
      <w:proofErr w:type="spellStart"/>
      <w:r w:rsidRPr="00BE0E6A">
        <w:rPr>
          <w:rFonts w:ascii="맑은 고딕" w:eastAsia="맑은 고딕" w:hAnsi="맑은 고딕" w:hint="eastAsia"/>
          <w:szCs w:val="24"/>
        </w:rPr>
        <w:t>Self controlled</w:t>
      </w:r>
      <w:proofErr w:type="spellEnd"/>
      <w:r w:rsidRPr="00BE0E6A">
        <w:rPr>
          <w:rFonts w:ascii="맑은 고딕" w:eastAsia="맑은 고딕" w:hAnsi="맑은 고딕" w:hint="eastAsia"/>
          <w:szCs w:val="24"/>
        </w:rPr>
        <w:t xml:space="preserve"> case series (SCCS) 접근법에 따른 위험기간/비위험기간 설정 예 </w:t>
      </w:r>
    </w:p>
    <w:p w:rsidR="00BE0E6A" w:rsidRPr="002C1507" w:rsidRDefault="00BE0E6A" w:rsidP="002C1507">
      <w:pPr>
        <w:pStyle w:val="a9"/>
        <w:wordWrap/>
        <w:spacing w:line="240" w:lineRule="auto"/>
        <w:ind w:firstLineChars="550" w:firstLine="1100"/>
        <w:rPr>
          <w:sz w:val="16"/>
        </w:rPr>
      </w:pPr>
      <w:proofErr w:type="gramStart"/>
      <w:r>
        <w:rPr>
          <w:rFonts w:ascii="맑은 고딕" w:eastAsia="맑은 고딕" w:hAnsi="맑은 고딕"/>
          <w:szCs w:val="24"/>
        </w:rPr>
        <w:t>(</w:t>
      </w:r>
      <w:r w:rsidRPr="00BE0E6A">
        <w:rPr>
          <w:rFonts w:ascii="맑은 고딕" w:eastAsia="맑은 고딕" w:hAnsi="맑은 고딕" w:hint="eastAsia"/>
          <w:szCs w:val="24"/>
        </w:rPr>
        <w:t xml:space="preserve"> Risk</w:t>
      </w:r>
      <w:proofErr w:type="gramEnd"/>
      <w:r w:rsidRPr="00BE0E6A">
        <w:rPr>
          <w:rFonts w:ascii="맑은 고딕" w:eastAsia="맑은 고딕" w:hAnsi="맑은 고딕" w:hint="eastAsia"/>
          <w:szCs w:val="24"/>
        </w:rPr>
        <w:t xml:space="preserve"> periods and control periods in </w:t>
      </w:r>
      <w:proofErr w:type="spellStart"/>
      <w:r w:rsidRPr="00BE0E6A">
        <w:rPr>
          <w:rFonts w:ascii="맑은 고딕" w:eastAsia="맑은 고딕" w:hAnsi="맑은 고딕" w:hint="eastAsia"/>
          <w:szCs w:val="24"/>
        </w:rPr>
        <w:t>self controlled</w:t>
      </w:r>
      <w:proofErr w:type="spellEnd"/>
      <w:r w:rsidRPr="00BE0E6A">
        <w:rPr>
          <w:rFonts w:ascii="맑은 고딕" w:eastAsia="맑은 고딕" w:hAnsi="맑은 고딕" w:hint="eastAsia"/>
          <w:szCs w:val="24"/>
        </w:rPr>
        <w:t xml:space="preserve"> case series </w:t>
      </w:r>
      <w:r>
        <w:rPr>
          <w:rFonts w:ascii="맑은 고딕" w:eastAsia="맑은 고딕" w:hAnsi="맑은 고딕"/>
          <w:szCs w:val="24"/>
        </w:rPr>
        <w:t>)</w:t>
      </w:r>
    </w:p>
    <w:p w:rsidR="002C1507" w:rsidRDefault="002C1507" w:rsidP="00D50E58">
      <w:pPr>
        <w:ind w:firstLineChars="400" w:firstLine="800"/>
        <w:rPr>
          <w:rFonts w:eastAsiaTheme="minorHAnsi"/>
          <w:szCs w:val="20"/>
        </w:rPr>
      </w:pPr>
    </w:p>
    <w:p w:rsidR="004F1357" w:rsidRPr="002C1507" w:rsidRDefault="004F1357" w:rsidP="002C1507">
      <w:pPr>
        <w:pStyle w:val="a7"/>
        <w:numPr>
          <w:ilvl w:val="0"/>
          <w:numId w:val="30"/>
        </w:numPr>
        <w:ind w:leftChars="0"/>
        <w:rPr>
          <w:rFonts w:eastAsiaTheme="minorHAnsi"/>
          <w:szCs w:val="20"/>
        </w:rPr>
      </w:pPr>
      <w:r w:rsidRPr="002C1507">
        <w:rPr>
          <w:rFonts w:eastAsiaTheme="minorHAnsi"/>
          <w:szCs w:val="20"/>
        </w:rPr>
        <w:t xml:space="preserve"> 위험 기간 및 </w:t>
      </w:r>
      <w:proofErr w:type="spellStart"/>
      <w:r w:rsidRPr="002C1507">
        <w:rPr>
          <w:rFonts w:eastAsiaTheme="minorHAnsi"/>
          <w:szCs w:val="20"/>
        </w:rPr>
        <w:t>비위험</w:t>
      </w:r>
      <w:proofErr w:type="spellEnd"/>
      <w:r w:rsidRPr="002C1507">
        <w:rPr>
          <w:rFonts w:eastAsiaTheme="minorHAnsi"/>
          <w:szCs w:val="20"/>
        </w:rPr>
        <w:t xml:space="preserve"> 기간의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발생률 계산</w:t>
      </w:r>
      <w:r w:rsidR="002C1507">
        <w:rPr>
          <w:rFonts w:eastAsiaTheme="minorHAnsi"/>
          <w:szCs w:val="20"/>
        </w:rPr>
        <w:t xml:space="preserve"> </w:t>
      </w:r>
      <w:r w:rsidR="002C1507" w:rsidRPr="002C1507">
        <w:rPr>
          <w:rFonts w:eastAsiaTheme="minorHAnsi" w:hint="eastAsia"/>
          <w:szCs w:val="20"/>
        </w:rPr>
        <w:t>:</w:t>
      </w:r>
      <w:r w:rsidRPr="002C1507">
        <w:rPr>
          <w:rFonts w:eastAsiaTheme="minorHAnsi"/>
          <w:szCs w:val="20"/>
        </w:rPr>
        <w:t xml:space="preserve"> 백신 연관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발병 </w:t>
      </w:r>
      <w:proofErr w:type="spellStart"/>
      <w:r w:rsidRPr="002C1507">
        <w:rPr>
          <w:rFonts w:eastAsiaTheme="minorHAnsi"/>
          <w:szCs w:val="20"/>
        </w:rPr>
        <w:t>위험기간</w:t>
      </w:r>
      <w:proofErr w:type="spellEnd"/>
      <w:r w:rsidRPr="002C1507">
        <w:rPr>
          <w:rFonts w:eastAsiaTheme="minorHAnsi"/>
          <w:szCs w:val="20"/>
        </w:rPr>
        <w:t xml:space="preserve">1 (백신 </w:t>
      </w:r>
      <w:proofErr w:type="spellStart"/>
      <w:r w:rsidRPr="002C1507">
        <w:rPr>
          <w:rFonts w:eastAsiaTheme="minorHAnsi"/>
          <w:szCs w:val="20"/>
        </w:rPr>
        <w:t>접종후</w:t>
      </w:r>
      <w:proofErr w:type="spellEnd"/>
      <w:r w:rsidRPr="002C1507">
        <w:rPr>
          <w:rFonts w:eastAsiaTheme="minorHAnsi"/>
          <w:szCs w:val="20"/>
        </w:rPr>
        <w:t xml:space="preserve"> 42일 이내), 백신 연관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발병 </w:t>
      </w:r>
      <w:proofErr w:type="spellStart"/>
      <w:r w:rsidRPr="002C1507">
        <w:rPr>
          <w:rFonts w:eastAsiaTheme="minorHAnsi"/>
          <w:szCs w:val="20"/>
        </w:rPr>
        <w:t>위험기간</w:t>
      </w:r>
      <w:proofErr w:type="spellEnd"/>
      <w:r w:rsidRPr="002C1507">
        <w:rPr>
          <w:rFonts w:eastAsiaTheme="minorHAnsi"/>
          <w:szCs w:val="20"/>
        </w:rPr>
        <w:t xml:space="preserve">2 (백신 </w:t>
      </w:r>
      <w:proofErr w:type="spellStart"/>
      <w:r w:rsidRPr="002C1507">
        <w:rPr>
          <w:rFonts w:eastAsiaTheme="minorHAnsi"/>
          <w:szCs w:val="20"/>
        </w:rPr>
        <w:t>접종후</w:t>
      </w:r>
      <w:proofErr w:type="spellEnd"/>
      <w:r w:rsidRPr="002C1507">
        <w:rPr>
          <w:rFonts w:eastAsiaTheme="minorHAnsi"/>
          <w:szCs w:val="20"/>
        </w:rPr>
        <w:t xml:space="preserve"> 42일(6주)- 84일(12주) 이내), 백신 연관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발병 </w:t>
      </w:r>
      <w:proofErr w:type="spellStart"/>
      <w:r w:rsidRPr="002C1507">
        <w:rPr>
          <w:rFonts w:eastAsiaTheme="minorHAnsi"/>
          <w:szCs w:val="20"/>
        </w:rPr>
        <w:t>비위험기간</w:t>
      </w:r>
      <w:proofErr w:type="spellEnd"/>
      <w:r w:rsidRPr="002C1507">
        <w:rPr>
          <w:rFonts w:eastAsiaTheme="minorHAnsi"/>
          <w:szCs w:val="20"/>
        </w:rPr>
        <w:t xml:space="preserve"> (</w:t>
      </w:r>
      <w:proofErr w:type="spellStart"/>
      <w:r w:rsidRPr="002C1507">
        <w:rPr>
          <w:rFonts w:eastAsiaTheme="minorHAnsi"/>
          <w:szCs w:val="20"/>
        </w:rPr>
        <w:t>위험기간</w:t>
      </w:r>
      <w:proofErr w:type="spellEnd"/>
      <w:r w:rsidRPr="002C1507">
        <w:rPr>
          <w:rFonts w:eastAsiaTheme="minorHAnsi"/>
          <w:szCs w:val="20"/>
        </w:rPr>
        <w:t xml:space="preserve">1, 2를 제외한 추적 기간) 의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(또는 Parsonage-Turner syndrome) 발생률 계산</w:t>
      </w:r>
    </w:p>
    <w:p w:rsidR="002C1507" w:rsidRDefault="00BE0E6A" w:rsidP="002C1507">
      <w:pPr>
        <w:pStyle w:val="a7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√ </w:t>
      </w:r>
      <w:r w:rsidR="004F1357" w:rsidRPr="004F1357">
        <w:rPr>
          <w:rFonts w:eastAsiaTheme="minorHAnsi"/>
          <w:szCs w:val="20"/>
        </w:rPr>
        <w:t xml:space="preserve">Background incidence rate of GBS among the per year = (Number of patients with new GBS/total size of population*) × 100,000. </w:t>
      </w:r>
    </w:p>
    <w:p w:rsidR="004F1357" w:rsidRPr="00D50E58" w:rsidRDefault="00BE0E6A" w:rsidP="002C1507">
      <w:pPr>
        <w:pStyle w:val="a7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√ </w:t>
      </w:r>
      <w:r w:rsidR="004F1357" w:rsidRPr="00D50E58">
        <w:rPr>
          <w:rFonts w:eastAsiaTheme="minorHAnsi"/>
          <w:szCs w:val="20"/>
        </w:rPr>
        <w:t>Incidence rate of GBS within 42 days following vaccination = (Number of patients vaccinated against and experiencing GBS within 42 days following vaccination/total number of people vaccinated against COVID) × 100,000</w:t>
      </w:r>
    </w:p>
    <w:p w:rsidR="004F1357" w:rsidRPr="002C1507" w:rsidRDefault="004F1357" w:rsidP="002C1507">
      <w:pPr>
        <w:pStyle w:val="a7"/>
        <w:numPr>
          <w:ilvl w:val="0"/>
          <w:numId w:val="30"/>
        </w:numPr>
        <w:ind w:leftChars="0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 xml:space="preserve">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증후군과 </w:t>
      </w:r>
      <w:proofErr w:type="spellStart"/>
      <w:r w:rsidRPr="004F1357">
        <w:rPr>
          <w:rFonts w:eastAsiaTheme="minorHAnsi"/>
          <w:szCs w:val="20"/>
        </w:rPr>
        <w:t>길랭</w:t>
      </w:r>
      <w:proofErr w:type="spellEnd"/>
      <w:r w:rsidRPr="004F1357">
        <w:rPr>
          <w:rFonts w:eastAsiaTheme="minorHAnsi"/>
          <w:szCs w:val="20"/>
        </w:rPr>
        <w:t>-</w:t>
      </w:r>
      <w:proofErr w:type="spellStart"/>
      <w:r w:rsidRPr="004F1357">
        <w:rPr>
          <w:rFonts w:eastAsiaTheme="minorHAnsi"/>
          <w:szCs w:val="20"/>
        </w:rPr>
        <w:t>바레</w:t>
      </w:r>
      <w:proofErr w:type="spellEnd"/>
      <w:r w:rsidRPr="004F1357">
        <w:rPr>
          <w:rFonts w:eastAsiaTheme="minorHAnsi"/>
          <w:szCs w:val="20"/>
        </w:rPr>
        <w:t xml:space="preserve"> 증후군 연관성 평가</w:t>
      </w:r>
      <w:r w:rsidR="002C1507">
        <w:rPr>
          <w:rFonts w:eastAsiaTheme="minorHAnsi" w:hint="eastAsia"/>
          <w:szCs w:val="20"/>
        </w:rPr>
        <w:t>:</w:t>
      </w:r>
      <w:r w:rsidR="002C1507">
        <w:rPr>
          <w:rFonts w:eastAsiaTheme="minorHAnsi"/>
          <w:szCs w:val="20"/>
        </w:rPr>
        <w:t xml:space="preserve"> </w:t>
      </w:r>
      <w:r w:rsidRPr="002C1507">
        <w:rPr>
          <w:rFonts w:eastAsiaTheme="minorHAnsi"/>
          <w:szCs w:val="20"/>
        </w:rPr>
        <w:t xml:space="preserve">백신 연관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</w:t>
      </w:r>
      <w:r w:rsidRPr="002C1507">
        <w:rPr>
          <w:rFonts w:eastAsiaTheme="minorHAnsi"/>
          <w:szCs w:val="20"/>
        </w:rPr>
        <w:lastRenderedPageBreak/>
        <w:t xml:space="preserve">병 </w:t>
      </w:r>
      <w:proofErr w:type="spellStart"/>
      <w:r w:rsidRPr="002C1507">
        <w:rPr>
          <w:rFonts w:eastAsiaTheme="minorHAnsi"/>
          <w:szCs w:val="20"/>
        </w:rPr>
        <w:t>위험기간</w:t>
      </w:r>
      <w:proofErr w:type="spellEnd"/>
      <w:r w:rsidRPr="002C1507">
        <w:rPr>
          <w:rFonts w:eastAsiaTheme="minorHAnsi"/>
          <w:szCs w:val="20"/>
        </w:rPr>
        <w:t xml:space="preserve"> (백신 </w:t>
      </w:r>
      <w:proofErr w:type="spellStart"/>
      <w:r w:rsidRPr="002C1507">
        <w:rPr>
          <w:rFonts w:eastAsiaTheme="minorHAnsi"/>
          <w:szCs w:val="20"/>
        </w:rPr>
        <w:t>접종후</w:t>
      </w:r>
      <w:proofErr w:type="spellEnd"/>
      <w:r w:rsidRPr="002C1507">
        <w:rPr>
          <w:rFonts w:eastAsiaTheme="minorHAnsi"/>
          <w:szCs w:val="20"/>
        </w:rPr>
        <w:t xml:space="preserve"> 42일 이내- </w:t>
      </w:r>
      <w:proofErr w:type="spellStart"/>
      <w:r w:rsidRPr="002C1507">
        <w:rPr>
          <w:rFonts w:eastAsiaTheme="minorHAnsi"/>
          <w:szCs w:val="20"/>
        </w:rPr>
        <w:t>시험군</w:t>
      </w:r>
      <w:proofErr w:type="spellEnd"/>
      <w:r w:rsidRPr="002C1507">
        <w:rPr>
          <w:rFonts w:eastAsiaTheme="minorHAnsi"/>
          <w:szCs w:val="20"/>
        </w:rPr>
        <w:t xml:space="preserve">1, </w:t>
      </w:r>
      <w:proofErr w:type="spellStart"/>
      <w:r w:rsidRPr="002C1507">
        <w:rPr>
          <w:rFonts w:eastAsiaTheme="minorHAnsi"/>
          <w:szCs w:val="20"/>
        </w:rPr>
        <w:t>백신접종후</w:t>
      </w:r>
      <w:proofErr w:type="spellEnd"/>
      <w:r w:rsidRPr="002C1507">
        <w:rPr>
          <w:rFonts w:eastAsiaTheme="minorHAnsi"/>
          <w:szCs w:val="20"/>
        </w:rPr>
        <w:t xml:space="preserve"> 42-84일- </w:t>
      </w:r>
      <w:proofErr w:type="spellStart"/>
      <w:r w:rsidRPr="002C1507">
        <w:rPr>
          <w:rFonts w:eastAsiaTheme="minorHAnsi"/>
          <w:szCs w:val="20"/>
        </w:rPr>
        <w:t>시험군</w:t>
      </w:r>
      <w:proofErr w:type="spellEnd"/>
      <w:r w:rsidRPr="002C1507">
        <w:rPr>
          <w:rFonts w:eastAsiaTheme="minorHAnsi"/>
          <w:szCs w:val="20"/>
        </w:rPr>
        <w:t xml:space="preserve"> 2), 백신 연관 </w:t>
      </w:r>
      <w:proofErr w:type="spellStart"/>
      <w:r w:rsidRPr="002C1507">
        <w:rPr>
          <w:rFonts w:eastAsiaTheme="minorHAnsi"/>
          <w:szCs w:val="20"/>
        </w:rPr>
        <w:t>길랭</w:t>
      </w:r>
      <w:proofErr w:type="spellEnd"/>
      <w:r w:rsidRPr="002C1507">
        <w:rPr>
          <w:rFonts w:eastAsiaTheme="minorHAnsi"/>
          <w:szCs w:val="20"/>
        </w:rPr>
        <w:t>-</w:t>
      </w:r>
      <w:proofErr w:type="spellStart"/>
      <w:r w:rsidRPr="002C1507">
        <w:rPr>
          <w:rFonts w:eastAsiaTheme="minorHAnsi"/>
          <w:szCs w:val="20"/>
        </w:rPr>
        <w:t>바레</w:t>
      </w:r>
      <w:proofErr w:type="spellEnd"/>
      <w:r w:rsidRPr="002C1507">
        <w:rPr>
          <w:rFonts w:eastAsiaTheme="minorHAnsi"/>
          <w:szCs w:val="20"/>
        </w:rPr>
        <w:t xml:space="preserve"> 증후군 발병 </w:t>
      </w:r>
      <w:proofErr w:type="spellStart"/>
      <w:r w:rsidRPr="002C1507">
        <w:rPr>
          <w:rFonts w:eastAsiaTheme="minorHAnsi"/>
          <w:szCs w:val="20"/>
        </w:rPr>
        <w:t>비위험기간</w:t>
      </w:r>
      <w:proofErr w:type="spellEnd"/>
      <w:r w:rsidRPr="002C1507">
        <w:rPr>
          <w:rFonts w:eastAsiaTheme="minorHAnsi"/>
          <w:szCs w:val="20"/>
        </w:rPr>
        <w:t xml:space="preserve"> (대조군)의 Incidence rate ratio를 산정하여 비교 (Poisson regression analysis 통계기법 적용)</w:t>
      </w:r>
    </w:p>
    <w:p w:rsidR="004F1357" w:rsidRPr="001B407E" w:rsidRDefault="00BE0E6A" w:rsidP="004F1357">
      <w:pPr>
        <w:pStyle w:val="a7"/>
        <w:rPr>
          <w:rFonts w:eastAsiaTheme="minorHAnsi"/>
          <w:b/>
          <w:szCs w:val="20"/>
          <w:u w:val="single"/>
        </w:rPr>
      </w:pPr>
      <w:r w:rsidRPr="001B407E">
        <w:rPr>
          <w:rFonts w:eastAsiaTheme="minorHAnsi"/>
          <w:b/>
          <w:szCs w:val="20"/>
          <w:u w:val="single"/>
        </w:rPr>
        <w:t xml:space="preserve">(3) </w:t>
      </w:r>
      <w:proofErr w:type="gramStart"/>
      <w:r w:rsidR="004F1357" w:rsidRPr="001B407E">
        <w:rPr>
          <w:rFonts w:eastAsiaTheme="minorHAnsi"/>
          <w:b/>
          <w:szCs w:val="20"/>
          <w:u w:val="single"/>
        </w:rPr>
        <w:t>3단계</w:t>
      </w:r>
      <w:r w:rsidRPr="001B407E">
        <w:rPr>
          <w:rFonts w:eastAsiaTheme="minorHAnsi"/>
          <w:b/>
          <w:szCs w:val="20"/>
          <w:u w:val="single"/>
        </w:rPr>
        <w:t xml:space="preserve"> :</w:t>
      </w:r>
      <w:proofErr w:type="gramEnd"/>
      <w:r w:rsidRPr="001B407E">
        <w:rPr>
          <w:rFonts w:eastAsiaTheme="minorHAnsi"/>
          <w:b/>
          <w:szCs w:val="20"/>
          <w:u w:val="single"/>
        </w:rPr>
        <w:t xml:space="preserve"> </w:t>
      </w:r>
      <w:r w:rsidR="004F1357" w:rsidRPr="001B407E">
        <w:rPr>
          <w:rFonts w:eastAsiaTheme="minorHAnsi"/>
          <w:b/>
          <w:szCs w:val="20"/>
          <w:u w:val="single"/>
        </w:rPr>
        <w:t xml:space="preserve">수집된 자료의 대표성에 대한 validation </w:t>
      </w:r>
    </w:p>
    <w:p w:rsidR="004F1357" w:rsidRPr="004F1357" w:rsidRDefault="004F1357" w:rsidP="004F1357">
      <w:pPr>
        <w:pStyle w:val="a7"/>
        <w:rPr>
          <w:rFonts w:eastAsiaTheme="minorHAnsi"/>
          <w:szCs w:val="20"/>
        </w:rPr>
      </w:pPr>
      <w:r w:rsidRPr="004F1357">
        <w:rPr>
          <w:rFonts w:eastAsiaTheme="minorHAnsi"/>
          <w:szCs w:val="20"/>
        </w:rPr>
        <w:t>- 전국 연구자 주도 증례 수집 분석 결과와 심사평가원 및 질병관리청 예방접종등록시스템 빅데이터 분석 자료 비교 분석</w:t>
      </w:r>
    </w:p>
    <w:p w:rsidR="006F5808" w:rsidRPr="002C1507" w:rsidRDefault="001B407E" w:rsidP="002C1507">
      <w:pPr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F1357" w:rsidRPr="001B407E">
        <w:rPr>
          <w:rFonts w:eastAsiaTheme="minorHAnsi"/>
          <w:szCs w:val="20"/>
        </w:rPr>
        <w:t xml:space="preserve"> 질병관리청 코로나19 예방접종관리시스템 이상반응 신고현황 자료와 비교 분석</w:t>
      </w:r>
    </w:p>
    <w:p w:rsidR="002C1507" w:rsidRDefault="002C1507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04516C" w:rsidRPr="001B407E" w:rsidRDefault="001B407E" w:rsidP="001B407E">
      <w:pPr>
        <w:ind w:firstLineChars="200" w:firstLine="400"/>
        <w:rPr>
          <w:rFonts w:eastAsiaTheme="minorHAnsi"/>
          <w:b/>
          <w:i/>
          <w:szCs w:val="20"/>
        </w:rPr>
      </w:pPr>
      <w:r w:rsidRPr="001B407E">
        <w:rPr>
          <w:rFonts w:eastAsiaTheme="minorHAnsi" w:hint="eastAsia"/>
          <w:b/>
          <w:szCs w:val="20"/>
        </w:rPr>
        <w:lastRenderedPageBreak/>
        <w:t>4</w:t>
      </w:r>
      <w:r w:rsidRPr="001B407E">
        <w:rPr>
          <w:rFonts w:eastAsiaTheme="minorHAnsi"/>
          <w:b/>
          <w:szCs w:val="20"/>
        </w:rPr>
        <w:t xml:space="preserve">) </w:t>
      </w:r>
      <w:r w:rsidR="0004516C" w:rsidRPr="001B407E">
        <w:rPr>
          <w:rFonts w:eastAsiaTheme="minorHAnsi" w:hint="eastAsia"/>
          <w:b/>
          <w:szCs w:val="20"/>
        </w:rPr>
        <w:t>연구수행 계획표(일정표</w:t>
      </w:r>
      <w:proofErr w:type="gramStart"/>
      <w:r w:rsidR="0004516C" w:rsidRPr="001B407E">
        <w:rPr>
          <w:rFonts w:eastAsiaTheme="minorHAnsi" w:hint="eastAsia"/>
          <w:b/>
          <w:szCs w:val="20"/>
        </w:rPr>
        <w:t>)</w:t>
      </w:r>
      <w:r w:rsidR="003F0907" w:rsidRPr="001B407E">
        <w:rPr>
          <w:rFonts w:eastAsiaTheme="minorHAnsi"/>
          <w:b/>
          <w:szCs w:val="20"/>
        </w:rPr>
        <w:t xml:space="preserve"> :</w:t>
      </w:r>
      <w:proofErr w:type="gramEnd"/>
      <w:r w:rsidR="003F0907" w:rsidRPr="001B407E">
        <w:rPr>
          <w:rFonts w:eastAsiaTheme="minorHAnsi"/>
          <w:b/>
          <w:szCs w:val="20"/>
        </w:rPr>
        <w:t xml:space="preserve"> </w:t>
      </w:r>
    </w:p>
    <w:tbl>
      <w:tblPr>
        <w:tblOverlap w:val="never"/>
        <w:tblW w:w="9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77"/>
        <w:gridCol w:w="377"/>
        <w:gridCol w:w="377"/>
        <w:gridCol w:w="377"/>
        <w:gridCol w:w="378"/>
        <w:gridCol w:w="377"/>
        <w:gridCol w:w="377"/>
        <w:gridCol w:w="377"/>
        <w:gridCol w:w="378"/>
        <w:gridCol w:w="377"/>
        <w:gridCol w:w="377"/>
        <w:gridCol w:w="377"/>
        <w:gridCol w:w="377"/>
        <w:gridCol w:w="378"/>
        <w:gridCol w:w="377"/>
        <w:gridCol w:w="377"/>
        <w:gridCol w:w="377"/>
        <w:gridCol w:w="378"/>
      </w:tblGrid>
      <w:tr w:rsidR="001B407E" w:rsidRPr="001B407E" w:rsidTr="00751C36">
        <w:trPr>
          <w:trHeight w:val="580"/>
        </w:trPr>
        <w:tc>
          <w:tcPr>
            <w:tcW w:w="9226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07E" w:rsidRPr="001B407E" w:rsidRDefault="001B407E" w:rsidP="001B407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26"/>
                <w:szCs w:val="26"/>
              </w:rPr>
              <w:t>(연구기간 :IRB승인~ 2023.12.31)</w:t>
            </w:r>
          </w:p>
        </w:tc>
      </w:tr>
      <w:tr w:rsidR="001B407E" w:rsidRPr="001B407E" w:rsidTr="00751C36">
        <w:trPr>
          <w:trHeight w:val="316"/>
        </w:trPr>
        <w:tc>
          <w:tcPr>
            <w:tcW w:w="24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07E" w:rsidRPr="001B407E" w:rsidRDefault="001B407E" w:rsidP="001B407E">
            <w:pPr>
              <w:shd w:val="clear" w:color="auto" w:fill="FFFFFF"/>
              <w:wordWrap/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월</w:t>
            </w:r>
          </w:p>
          <w:p w:rsidR="001B407E" w:rsidRPr="001B407E" w:rsidRDefault="001B407E" w:rsidP="001B407E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연구내용</w:t>
            </w:r>
          </w:p>
        </w:tc>
        <w:tc>
          <w:tcPr>
            <w:tcW w:w="22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07E" w:rsidRPr="001B407E" w:rsidRDefault="001B407E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1차년도</w:t>
            </w:r>
          </w:p>
        </w:tc>
        <w:tc>
          <w:tcPr>
            <w:tcW w:w="4527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07E" w:rsidRPr="001B407E" w:rsidRDefault="001B407E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2차년도</w:t>
            </w:r>
          </w:p>
        </w:tc>
      </w:tr>
      <w:tr w:rsidR="00751C36" w:rsidRPr="001B407E" w:rsidTr="00751C36">
        <w:trPr>
          <w:trHeight w:val="3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51C36" w:rsidRPr="001B407E" w:rsidRDefault="00751C36" w:rsidP="001B40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월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8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9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10</w:t>
            </w: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11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12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2</w:t>
            </w: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3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4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5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6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7</w:t>
            </w: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8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9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10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11</w:t>
            </w: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12</w:t>
            </w:r>
          </w:p>
        </w:tc>
      </w:tr>
      <w:tr w:rsidR="00751C36" w:rsidRPr="001B407E" w:rsidTr="00751C36">
        <w:trPr>
          <w:trHeight w:val="2024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길랭</w:t>
            </w:r>
            <w:proofErr w:type="spellEnd"/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바레</w:t>
            </w:r>
            <w:proofErr w:type="spellEnd"/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증후군 및 Parsonage-Turner 증후군 역학 연구에 적절한 진단기준, 케이스 보고 양식 개발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751C36">
        <w:trPr>
          <w:trHeight w:val="1556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전국 관련 임상의 연구 내용 및 수집 안내 메일 공지 및 증례　수집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751C36">
        <w:trPr>
          <w:trHeight w:val="1386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심사평가원 및 예방접종등록시스템 데이터베이스 구축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751C36">
        <w:trPr>
          <w:trHeight w:val="1613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염증성신경병증 전문의 및 역학 전문의 패널 구성 및 지침 결정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2C1507">
        <w:trPr>
          <w:trHeight w:val="1124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수집/데이터 분석 역학 자문 및 분석 방법 개발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510B26">
        <w:trPr>
          <w:trHeight w:val="989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4"/>
              </w:rPr>
              <w:t>수집 자료 및 데이터 분석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51C36" w:rsidRPr="001B407E" w:rsidTr="00510B26">
        <w:trPr>
          <w:trHeight w:val="1015"/>
        </w:trPr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1B4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4"/>
              </w:rPr>
              <w:t>보고서 작성</w:t>
            </w: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1C36" w:rsidRPr="001B407E" w:rsidRDefault="00751C36" w:rsidP="001B407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B1D4A" w:rsidRPr="00614E29" w:rsidRDefault="00D87671" w:rsidP="00D87671">
      <w:pPr>
        <w:pStyle w:val="a7"/>
        <w:numPr>
          <w:ilvl w:val="0"/>
          <w:numId w:val="20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lastRenderedPageBreak/>
        <w:t>연구대상자의 안전보호를 위한 대책</w:t>
      </w:r>
    </w:p>
    <w:p w:rsidR="00D87671" w:rsidRDefault="00D87671" w:rsidP="00D87671">
      <w:pPr>
        <w:pStyle w:val="a7"/>
        <w:numPr>
          <w:ilvl w:val="0"/>
          <w:numId w:val="21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>연구의 윤리성 확보를 위한 기본 방안</w:t>
      </w:r>
    </w:p>
    <w:p w:rsidR="00751C36" w:rsidRPr="00751C36" w:rsidRDefault="00751C36" w:rsidP="00751C36">
      <w:pPr>
        <w:spacing w:line="240" w:lineRule="auto"/>
        <w:ind w:left="800"/>
        <w:rPr>
          <w:rFonts w:eastAsiaTheme="minorHAnsi"/>
        </w:rPr>
      </w:pPr>
      <w:r w:rsidRPr="00751C36">
        <w:rPr>
          <w:rFonts w:eastAsiaTheme="minorHAnsi"/>
        </w:rPr>
        <w:t xml:space="preserve">본 </w:t>
      </w:r>
      <w:r>
        <w:rPr>
          <w:rFonts w:eastAsiaTheme="minorHAnsi" w:hint="eastAsia"/>
        </w:rPr>
        <w:t>연구는</w:t>
      </w:r>
      <w:r w:rsidRPr="00751C36">
        <w:rPr>
          <w:rFonts w:eastAsiaTheme="minorHAnsi"/>
        </w:rPr>
        <w:t xml:space="preserve"> 헬싱키 선언 및 ICH-GCP 등 관련규정을 준수하여 실시하며, 연구수행기관의 기관생명윤리위원회의 승인을 득한 후, </w:t>
      </w:r>
      <w:r>
        <w:rPr>
          <w:rFonts w:eastAsiaTheme="minorHAnsi" w:hint="eastAsia"/>
        </w:rPr>
        <w:t xml:space="preserve">연구를 </w:t>
      </w:r>
      <w:r w:rsidRPr="00751C36">
        <w:rPr>
          <w:rFonts w:eastAsiaTheme="minorHAnsi"/>
        </w:rPr>
        <w:t>시작할 예정임. 시험기간 동안 얻어지는 결과들은 증례기록서에 기록될 것이며, 모든 사항에 대하여는 비밀을 보장할 것임.</w:t>
      </w:r>
    </w:p>
    <w:p w:rsidR="00751C36" w:rsidRPr="00751C36" w:rsidRDefault="00751C36" w:rsidP="00751C36">
      <w:pPr>
        <w:pStyle w:val="a7"/>
        <w:ind w:leftChars="0" w:left="1200"/>
        <w:rPr>
          <w:rFonts w:eastAsiaTheme="minorHAnsi"/>
          <w:b/>
        </w:rPr>
      </w:pPr>
    </w:p>
    <w:p w:rsidR="00CE481B" w:rsidRDefault="00CE481B" w:rsidP="00D87671">
      <w:pPr>
        <w:pStyle w:val="a7"/>
        <w:numPr>
          <w:ilvl w:val="0"/>
          <w:numId w:val="21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 xml:space="preserve">연구대상자의 개인정보보호 </w:t>
      </w:r>
      <w:proofErr w:type="gramStart"/>
      <w:r w:rsidRPr="00614E29">
        <w:rPr>
          <w:rFonts w:eastAsiaTheme="minorHAnsi" w:hint="eastAsia"/>
          <w:b/>
        </w:rPr>
        <w:t>방안</w:t>
      </w:r>
      <w:r w:rsidR="00751C36">
        <w:rPr>
          <w:rFonts w:eastAsiaTheme="minorHAnsi" w:hint="eastAsia"/>
          <w:b/>
        </w:rPr>
        <w:t xml:space="preserve"> </w:t>
      </w:r>
      <w:r w:rsidR="00751C36">
        <w:rPr>
          <w:rFonts w:eastAsiaTheme="minorHAnsi"/>
          <w:b/>
        </w:rPr>
        <w:t>?</w:t>
      </w:r>
      <w:proofErr w:type="gramEnd"/>
      <w:r w:rsidR="00751C36">
        <w:rPr>
          <w:rFonts w:eastAsiaTheme="minorHAnsi"/>
          <w:b/>
        </w:rPr>
        <w:t>?</w:t>
      </w:r>
    </w:p>
    <w:p w:rsidR="002C1507" w:rsidRDefault="002C1507" w:rsidP="002C1507">
      <w:pPr>
        <w:pStyle w:val="hstyle0"/>
        <w:spacing w:line="276" w:lineRule="auto"/>
        <w:ind w:leftChars="400" w:left="800"/>
        <w:rPr>
          <w:rFonts w:ascii="맑은 고딕" w:eastAsia="맑은 고딕" w:hAnsi="맑은 고딕"/>
        </w:rPr>
      </w:pPr>
      <w:r w:rsidRPr="002C1507">
        <w:rPr>
          <w:rFonts w:ascii="맑은 고딕" w:eastAsia="맑은 고딕" w:hAnsi="맑은 고딕" w:hint="eastAsia"/>
        </w:rPr>
        <w:t>피험자의 개인정보노출을 피하기 위해서 식별 정보를 코드화해서 데이터를 저장하기에 개인식별 정보를 수집 및 기록하지 않음.</w:t>
      </w:r>
      <w:r w:rsidRPr="002C1507">
        <w:rPr>
          <w:rFonts w:ascii="맑은 고딕" w:eastAsia="맑은 고딕" w:hAnsi="맑은 고딕"/>
        </w:rPr>
        <w:t xml:space="preserve"> </w:t>
      </w:r>
      <w:r w:rsidRPr="002C1507">
        <w:rPr>
          <w:rFonts w:ascii="맑은 고딕" w:eastAsia="맑은 고딕" w:hAnsi="맑은 고딕" w:hint="eastAsia"/>
        </w:rPr>
        <w:t xml:space="preserve">관련 연구자료는 </w:t>
      </w:r>
      <w:proofErr w:type="spellStart"/>
      <w:r w:rsidRPr="002C1507">
        <w:rPr>
          <w:rFonts w:ascii="맑은 고딕" w:eastAsia="맑은 고딕" w:hAnsi="맑은 고딕" w:hint="eastAsia"/>
        </w:rPr>
        <w:t>시건장치가</w:t>
      </w:r>
      <w:proofErr w:type="spellEnd"/>
      <w:r w:rsidRPr="002C1507">
        <w:rPr>
          <w:rFonts w:ascii="맑은 고딕" w:eastAsia="맑은 고딕" w:hAnsi="맑은 고딕" w:hint="eastAsia"/>
        </w:rPr>
        <w:t xml:space="preserve"> 있는 캐비닛에 보관한다. </w:t>
      </w:r>
      <w:proofErr w:type="spellStart"/>
      <w:r w:rsidRPr="002C1507">
        <w:rPr>
          <w:rFonts w:ascii="맑은 고딕" w:eastAsia="맑은 고딕" w:hAnsi="맑은 고딕" w:hint="eastAsia"/>
        </w:rPr>
        <w:t>자료안전</w:t>
      </w:r>
      <w:proofErr w:type="spellEnd"/>
      <w:r w:rsidRPr="002C1507">
        <w:rPr>
          <w:rFonts w:ascii="맑은 고딕" w:eastAsia="맑은 고딕" w:hAnsi="맑은 고딕" w:hint="eastAsia"/>
        </w:rPr>
        <w:t xml:space="preserve"> 모니터링은 연구책임자인 </w:t>
      </w:r>
      <w:r>
        <w:rPr>
          <w:rFonts w:ascii="맑은 고딕" w:eastAsia="맑은 고딕" w:hAnsi="맑은 고딕" w:hint="eastAsia"/>
        </w:rPr>
        <w:t>김지은</w:t>
      </w:r>
      <w:r w:rsidRPr="002C1507">
        <w:rPr>
          <w:rFonts w:ascii="맑은 고딕" w:eastAsia="맑은 고딕" w:hAnsi="맑은 고딕" w:hint="eastAsia"/>
        </w:rPr>
        <w:t xml:space="preserve">교수의 관리감독하에 </w:t>
      </w:r>
      <w:r w:rsidRPr="002C1507">
        <w:rPr>
          <w:rFonts w:ascii="맑은 고딕" w:eastAsia="맑은 고딕" w:hAnsi="맑은 고딕"/>
        </w:rPr>
        <w:t>6</w:t>
      </w:r>
      <w:r w:rsidRPr="002C1507">
        <w:rPr>
          <w:rFonts w:ascii="맑은 고딕" w:eastAsia="맑은 고딕" w:hAnsi="맑은 고딕" w:hint="eastAsia"/>
        </w:rPr>
        <w:t xml:space="preserve">개월마다 자료의 안전성을 확인함. </w:t>
      </w:r>
      <w:r w:rsidRPr="001549A9">
        <w:rPr>
          <w:rFonts w:ascii="맑은 고딕" w:eastAsia="맑은 고딕" w:hAnsi="맑은 고딕" w:hint="eastAsia"/>
        </w:rPr>
        <w:t xml:space="preserve">연구 관련 기록은 생명윤리법 시행규칙 제15조에 따라 연구가 종료된 시점부터 3년간 보관할 것이며, 보관 기간이 지나게 되면 개인정보보호법 시행령 제16조에 따라 파기할 </w:t>
      </w:r>
      <w:r>
        <w:rPr>
          <w:rFonts w:ascii="맑은 고딕" w:eastAsia="맑은 고딕" w:hAnsi="맑은 고딕" w:hint="eastAsia"/>
        </w:rPr>
        <w:t>것임</w:t>
      </w:r>
      <w:r w:rsidRPr="001549A9">
        <w:rPr>
          <w:rFonts w:ascii="맑은 고딕" w:eastAsia="맑은 고딕" w:hAnsi="맑은 고딕" w:hint="eastAsia"/>
        </w:rPr>
        <w:t>.</w:t>
      </w:r>
    </w:p>
    <w:p w:rsidR="00B02B03" w:rsidRPr="002C1507" w:rsidRDefault="00B02B03" w:rsidP="002C1507">
      <w:pPr>
        <w:rPr>
          <w:rFonts w:eastAsiaTheme="minorHAnsi"/>
          <w:i/>
          <w:color w:val="808080" w:themeColor="background1" w:themeShade="80"/>
        </w:rPr>
      </w:pPr>
    </w:p>
    <w:p w:rsidR="00D87671" w:rsidRDefault="00D87671" w:rsidP="00D87671">
      <w:pPr>
        <w:pStyle w:val="a7"/>
        <w:numPr>
          <w:ilvl w:val="0"/>
          <w:numId w:val="20"/>
        </w:numPr>
        <w:ind w:leftChars="0"/>
        <w:rPr>
          <w:rFonts w:eastAsiaTheme="minorHAnsi"/>
          <w:b/>
        </w:rPr>
      </w:pPr>
      <w:r w:rsidRPr="00614E29">
        <w:rPr>
          <w:rFonts w:eastAsiaTheme="minorHAnsi" w:hint="eastAsia"/>
          <w:b/>
        </w:rPr>
        <w:t>참고문헌</w:t>
      </w:r>
    </w:p>
    <w:p w:rsidR="002C1507" w:rsidRDefault="002C1507" w:rsidP="002C1507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2C1507">
        <w:rPr>
          <w:rFonts w:eastAsiaTheme="minorHAnsi"/>
        </w:rPr>
        <w:t xml:space="preserve">Wakerley BR, </w:t>
      </w:r>
      <w:proofErr w:type="spellStart"/>
      <w:r w:rsidRPr="002C1507">
        <w:rPr>
          <w:rFonts w:eastAsiaTheme="minorHAnsi"/>
        </w:rPr>
        <w:t>Uncini</w:t>
      </w:r>
      <w:proofErr w:type="spellEnd"/>
      <w:r w:rsidRPr="002C1507">
        <w:rPr>
          <w:rFonts w:eastAsiaTheme="minorHAnsi"/>
        </w:rPr>
        <w:t xml:space="preserve"> A, Yuki N; GBS Classification Group; GBS Classification Group. Guillain-Barré and Miller Fisher syndromes--new diagnostic classification. Nat Rev Neurol. 2014 Sep;10(9):537-44. </w:t>
      </w:r>
      <w:proofErr w:type="spellStart"/>
      <w:r w:rsidRPr="002C1507">
        <w:rPr>
          <w:rFonts w:eastAsiaTheme="minorHAnsi"/>
        </w:rPr>
        <w:t>doi</w:t>
      </w:r>
      <w:proofErr w:type="spellEnd"/>
      <w:r w:rsidRPr="002C1507">
        <w:rPr>
          <w:rFonts w:eastAsiaTheme="minorHAnsi"/>
        </w:rPr>
        <w:t xml:space="preserve">: 10.1038/nrneurol.2014.138. </w:t>
      </w:r>
      <w:proofErr w:type="spellStart"/>
      <w:r w:rsidRPr="002C1507">
        <w:rPr>
          <w:rFonts w:eastAsiaTheme="minorHAnsi"/>
        </w:rPr>
        <w:t>Epub</w:t>
      </w:r>
      <w:proofErr w:type="spellEnd"/>
      <w:r w:rsidRPr="002C1507">
        <w:rPr>
          <w:rFonts w:eastAsiaTheme="minorHAnsi"/>
        </w:rPr>
        <w:t xml:space="preserve"> 2014 Jul 29. Erratum in: Nat Rev Neurol. 2014 Nov;10(11):612. PMID: 25072194.</w:t>
      </w:r>
    </w:p>
    <w:p w:rsidR="002C1507" w:rsidRDefault="002C1507" w:rsidP="002C1507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2C1507">
        <w:rPr>
          <w:rFonts w:eastAsiaTheme="minorHAnsi"/>
        </w:rPr>
        <w:t>Uncini</w:t>
      </w:r>
      <w:proofErr w:type="spellEnd"/>
      <w:r w:rsidRPr="002C1507">
        <w:rPr>
          <w:rFonts w:eastAsiaTheme="minorHAnsi"/>
        </w:rPr>
        <w:t xml:space="preserve"> A, </w:t>
      </w:r>
      <w:proofErr w:type="spellStart"/>
      <w:r w:rsidRPr="002C1507">
        <w:rPr>
          <w:rFonts w:eastAsiaTheme="minorHAnsi"/>
        </w:rPr>
        <w:t>Ippoliti</w:t>
      </w:r>
      <w:proofErr w:type="spellEnd"/>
      <w:r w:rsidRPr="002C1507">
        <w:rPr>
          <w:rFonts w:eastAsiaTheme="minorHAnsi"/>
        </w:rPr>
        <w:t xml:space="preserve"> L, </w:t>
      </w:r>
      <w:proofErr w:type="spellStart"/>
      <w:r w:rsidRPr="002C1507">
        <w:rPr>
          <w:rFonts w:eastAsiaTheme="minorHAnsi"/>
        </w:rPr>
        <w:t>Shahrizaila</w:t>
      </w:r>
      <w:proofErr w:type="spellEnd"/>
      <w:r w:rsidRPr="002C1507">
        <w:rPr>
          <w:rFonts w:eastAsiaTheme="minorHAnsi"/>
        </w:rPr>
        <w:t xml:space="preserve"> N, </w:t>
      </w:r>
      <w:proofErr w:type="spellStart"/>
      <w:r w:rsidRPr="002C1507">
        <w:rPr>
          <w:rFonts w:eastAsiaTheme="minorHAnsi"/>
        </w:rPr>
        <w:t>Sekiguchi</w:t>
      </w:r>
      <w:proofErr w:type="spellEnd"/>
      <w:r w:rsidRPr="002C1507">
        <w:rPr>
          <w:rFonts w:eastAsiaTheme="minorHAnsi"/>
        </w:rPr>
        <w:t xml:space="preserve"> Y, </w:t>
      </w:r>
      <w:proofErr w:type="spellStart"/>
      <w:r w:rsidRPr="002C1507">
        <w:rPr>
          <w:rFonts w:eastAsiaTheme="minorHAnsi"/>
        </w:rPr>
        <w:t>Kuwabara</w:t>
      </w:r>
      <w:proofErr w:type="spellEnd"/>
      <w:r w:rsidRPr="002C1507">
        <w:rPr>
          <w:rFonts w:eastAsiaTheme="minorHAnsi"/>
        </w:rPr>
        <w:t xml:space="preserve"> S. Optimizing the electrodiagnostic accuracy in Guillain-Barré syndrome subtypes: Criteria sets and sparse linear discriminant analysis. </w:t>
      </w:r>
      <w:proofErr w:type="spellStart"/>
      <w:r w:rsidRPr="002C1507">
        <w:rPr>
          <w:rFonts w:eastAsiaTheme="minorHAnsi"/>
        </w:rPr>
        <w:t>Clin</w:t>
      </w:r>
      <w:proofErr w:type="spellEnd"/>
      <w:r w:rsidRPr="002C1507">
        <w:rPr>
          <w:rFonts w:eastAsiaTheme="minorHAnsi"/>
        </w:rPr>
        <w:t xml:space="preserve"> </w:t>
      </w:r>
      <w:proofErr w:type="spellStart"/>
      <w:r w:rsidRPr="002C1507">
        <w:rPr>
          <w:rFonts w:eastAsiaTheme="minorHAnsi"/>
        </w:rPr>
        <w:t>Neurophysiol</w:t>
      </w:r>
      <w:proofErr w:type="spellEnd"/>
      <w:r w:rsidRPr="002C1507">
        <w:rPr>
          <w:rFonts w:eastAsiaTheme="minorHAnsi"/>
        </w:rPr>
        <w:t xml:space="preserve">. 2017 Jul;128(7):1176-1183. </w:t>
      </w:r>
      <w:proofErr w:type="spellStart"/>
      <w:r w:rsidRPr="002C1507">
        <w:rPr>
          <w:rFonts w:eastAsiaTheme="minorHAnsi"/>
        </w:rPr>
        <w:t>doi</w:t>
      </w:r>
      <w:proofErr w:type="spellEnd"/>
      <w:r w:rsidRPr="002C1507">
        <w:rPr>
          <w:rFonts w:eastAsiaTheme="minorHAnsi"/>
        </w:rPr>
        <w:t xml:space="preserve">: 10.1016/j.clinph.2017.03.048. </w:t>
      </w:r>
      <w:proofErr w:type="spellStart"/>
      <w:r w:rsidRPr="002C1507">
        <w:rPr>
          <w:rFonts w:eastAsiaTheme="minorHAnsi"/>
        </w:rPr>
        <w:t>Epub</w:t>
      </w:r>
      <w:proofErr w:type="spellEnd"/>
      <w:r w:rsidRPr="002C1507">
        <w:rPr>
          <w:rFonts w:eastAsiaTheme="minorHAnsi"/>
        </w:rPr>
        <w:t xml:space="preserve"> 2017 Apr 20. PMID: 28521265.</w:t>
      </w:r>
    </w:p>
    <w:p w:rsidR="002C1507" w:rsidRDefault="002C1507" w:rsidP="002C1507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2C1507">
        <w:rPr>
          <w:rFonts w:eastAsiaTheme="minorHAnsi"/>
        </w:rPr>
        <w:t xml:space="preserve">Hughes RA, Newsom-Davis JM, Perkin GD, Pierce JM. Controlled trial prednisolone in acute polyneuropathy. Lancet. 1978 Oct 7;2(8093):750-3. </w:t>
      </w:r>
      <w:proofErr w:type="spellStart"/>
      <w:r w:rsidRPr="002C1507">
        <w:rPr>
          <w:rFonts w:eastAsiaTheme="minorHAnsi"/>
        </w:rPr>
        <w:t>doi</w:t>
      </w:r>
      <w:proofErr w:type="spellEnd"/>
      <w:r w:rsidRPr="002C1507">
        <w:rPr>
          <w:rFonts w:eastAsiaTheme="minorHAnsi"/>
        </w:rPr>
        <w:t>: 10.1016/s0140-6736(78)92644-2. PMID: 80682.</w:t>
      </w:r>
    </w:p>
    <w:p w:rsidR="002C1507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1C6F01">
        <w:rPr>
          <w:rFonts w:eastAsiaTheme="minorHAnsi"/>
        </w:rPr>
        <w:lastRenderedPageBreak/>
        <w:t xml:space="preserve">Yuki N, Hartung HP. Guillain-Barré syndrome. N </w:t>
      </w:r>
      <w:proofErr w:type="spellStart"/>
      <w:r w:rsidRPr="001C6F01">
        <w:rPr>
          <w:rFonts w:eastAsiaTheme="minorHAnsi"/>
        </w:rPr>
        <w:t>Engl</w:t>
      </w:r>
      <w:proofErr w:type="spellEnd"/>
      <w:r w:rsidRPr="001C6F01">
        <w:rPr>
          <w:rFonts w:eastAsiaTheme="minorHAnsi"/>
        </w:rPr>
        <w:t xml:space="preserve"> J Med</w:t>
      </w:r>
      <w:r>
        <w:rPr>
          <w:rFonts w:eastAsiaTheme="minorHAnsi"/>
        </w:rPr>
        <w:t xml:space="preserve"> </w:t>
      </w:r>
      <w:r w:rsidRPr="001C6F01">
        <w:rPr>
          <w:rFonts w:eastAsiaTheme="minorHAnsi"/>
        </w:rPr>
        <w:t>2012</w:t>
      </w:r>
      <w:proofErr w:type="gramStart"/>
      <w:r w:rsidRPr="001C6F01">
        <w:rPr>
          <w:rFonts w:eastAsiaTheme="minorHAnsi"/>
        </w:rPr>
        <w:t>;366:2294</w:t>
      </w:r>
      <w:proofErr w:type="gramEnd"/>
      <w:r w:rsidRPr="001C6F01">
        <w:rPr>
          <w:rFonts w:eastAsiaTheme="minorHAnsi"/>
        </w:rPr>
        <w:t>-2304.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1C6F01">
        <w:rPr>
          <w:rFonts w:eastAsiaTheme="minorHAnsi"/>
        </w:rPr>
        <w:t xml:space="preserve">van </w:t>
      </w:r>
      <w:proofErr w:type="spellStart"/>
      <w:r w:rsidRPr="001C6F01">
        <w:rPr>
          <w:rFonts w:eastAsiaTheme="minorHAnsi"/>
        </w:rPr>
        <w:t>Doorn</w:t>
      </w:r>
      <w:proofErr w:type="spellEnd"/>
      <w:r w:rsidRPr="001C6F01">
        <w:rPr>
          <w:rFonts w:eastAsiaTheme="minorHAnsi"/>
        </w:rPr>
        <w:t xml:space="preserve"> PA, Ruts L, Jacobs BC. Clinical features, pathogenesis, and</w:t>
      </w:r>
      <w:r>
        <w:rPr>
          <w:rFonts w:eastAsiaTheme="minorHAnsi"/>
        </w:rPr>
        <w:t xml:space="preserve"> </w:t>
      </w:r>
      <w:r w:rsidRPr="001C6F01">
        <w:rPr>
          <w:rFonts w:eastAsiaTheme="minorHAnsi"/>
        </w:rPr>
        <w:t>treatment of Guillain-Barré syndrome. Lancet Neurol 2008</w:t>
      </w:r>
      <w:proofErr w:type="gramStart"/>
      <w:r w:rsidRPr="001C6F01">
        <w:rPr>
          <w:rFonts w:eastAsiaTheme="minorHAnsi"/>
        </w:rPr>
        <w:t>;7:939</w:t>
      </w:r>
      <w:proofErr w:type="gramEnd"/>
      <w:r w:rsidRPr="001C6F01">
        <w:rPr>
          <w:rFonts w:eastAsiaTheme="minorHAnsi"/>
        </w:rPr>
        <w:t>-950.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ascii="Calibri" w:eastAsiaTheme="minorHAnsi" w:hAnsi="Calibri" w:cs="Calibri"/>
        </w:rPr>
        <w:t>Č</w:t>
      </w:r>
      <w:r w:rsidRPr="001C6F01">
        <w:rPr>
          <w:rFonts w:eastAsiaTheme="minorHAnsi"/>
        </w:rPr>
        <w:t>enš</w:t>
      </w:r>
      <w:r w:rsidRPr="001C6F01">
        <w:rPr>
          <w:rFonts w:ascii="Calibri" w:eastAsiaTheme="minorHAnsi" w:hAnsi="Calibri" w:cs="Calibri"/>
        </w:rPr>
        <w:t>č</w:t>
      </w:r>
      <w:r w:rsidRPr="001C6F01">
        <w:rPr>
          <w:rFonts w:eastAsiaTheme="minorHAnsi" w:hint="eastAsia"/>
        </w:rPr>
        <w:t>á</w:t>
      </w:r>
      <w:r w:rsidRPr="001C6F01">
        <w:rPr>
          <w:rFonts w:eastAsiaTheme="minorHAnsi"/>
        </w:rPr>
        <w:t>k</w:t>
      </w:r>
      <w:proofErr w:type="spellEnd"/>
      <w:r w:rsidRPr="001C6F01">
        <w:rPr>
          <w:rFonts w:eastAsiaTheme="minorHAnsi"/>
        </w:rPr>
        <w:t xml:space="preserve"> D, </w:t>
      </w:r>
      <w:proofErr w:type="spellStart"/>
      <w:r w:rsidRPr="001C6F01">
        <w:rPr>
          <w:rFonts w:eastAsiaTheme="minorHAnsi"/>
        </w:rPr>
        <w:t>Ungermann</w:t>
      </w:r>
      <w:proofErr w:type="spellEnd"/>
      <w:r w:rsidRPr="001C6F01">
        <w:rPr>
          <w:rFonts w:eastAsiaTheme="minorHAnsi"/>
        </w:rPr>
        <w:t xml:space="preserve"> L, </w:t>
      </w:r>
      <w:proofErr w:type="spellStart"/>
      <w:r w:rsidRPr="001C6F01">
        <w:rPr>
          <w:rFonts w:eastAsiaTheme="minorHAnsi"/>
        </w:rPr>
        <w:t>Št</w:t>
      </w:r>
      <w:r w:rsidRPr="001C6F01">
        <w:rPr>
          <w:rFonts w:ascii="Calibri" w:eastAsiaTheme="minorHAnsi" w:hAnsi="Calibri" w:cs="Calibri"/>
        </w:rPr>
        <w:t>ě</w:t>
      </w:r>
      <w:r w:rsidRPr="001C6F01">
        <w:rPr>
          <w:rFonts w:eastAsiaTheme="minorHAnsi"/>
        </w:rPr>
        <w:t>tká</w:t>
      </w:r>
      <w:r w:rsidRPr="001C6F01">
        <w:rPr>
          <w:rFonts w:ascii="Calibri" w:eastAsiaTheme="minorHAnsi" w:hAnsi="Calibri" w:cs="Calibri"/>
        </w:rPr>
        <w:t>ř</w:t>
      </w:r>
      <w:r w:rsidRPr="001C6F01">
        <w:rPr>
          <w:rFonts w:eastAsiaTheme="minorHAnsi"/>
        </w:rPr>
        <w:t>ová</w:t>
      </w:r>
      <w:proofErr w:type="spellEnd"/>
      <w:r w:rsidRPr="001C6F01">
        <w:rPr>
          <w:rFonts w:eastAsiaTheme="minorHAnsi"/>
        </w:rPr>
        <w:t xml:space="preserve"> I, </w:t>
      </w:r>
      <w:proofErr w:type="spellStart"/>
      <w:r w:rsidRPr="001C6F01">
        <w:rPr>
          <w:rFonts w:eastAsiaTheme="minorHAnsi"/>
        </w:rPr>
        <w:t>Ehler</w:t>
      </w:r>
      <w:proofErr w:type="spellEnd"/>
      <w:r w:rsidRPr="001C6F01">
        <w:rPr>
          <w:rFonts w:eastAsiaTheme="minorHAnsi"/>
        </w:rPr>
        <w:t xml:space="preserve"> E. </w:t>
      </w:r>
      <w:proofErr w:type="spellStart"/>
      <w:r w:rsidRPr="001C6F01">
        <w:rPr>
          <w:rFonts w:eastAsiaTheme="minorHAnsi"/>
        </w:rPr>
        <w:t>Guillan-Barré</w:t>
      </w:r>
      <w:proofErr w:type="spellEnd"/>
      <w:r w:rsidRPr="001C6F01">
        <w:rPr>
          <w:rFonts w:eastAsiaTheme="minorHAnsi"/>
        </w:rPr>
        <w:t xml:space="preserve"> Syndrome after First Vaccination Dose against COVID-19: Case Report. </w:t>
      </w:r>
      <w:proofErr w:type="spellStart"/>
      <w:r w:rsidRPr="001C6F01">
        <w:rPr>
          <w:rFonts w:eastAsiaTheme="minorHAnsi"/>
        </w:rPr>
        <w:t>Acta</w:t>
      </w:r>
      <w:proofErr w:type="spellEnd"/>
      <w:r w:rsidRPr="001C6F01">
        <w:rPr>
          <w:rFonts w:eastAsiaTheme="minorHAnsi"/>
        </w:rPr>
        <w:t xml:space="preserve"> </w:t>
      </w:r>
      <w:proofErr w:type="spellStart"/>
      <w:r w:rsidRPr="001C6F01">
        <w:rPr>
          <w:rFonts w:eastAsiaTheme="minorHAnsi"/>
        </w:rPr>
        <w:t>Medica</w:t>
      </w:r>
      <w:proofErr w:type="spellEnd"/>
      <w:r w:rsidRPr="001C6F01">
        <w:rPr>
          <w:rFonts w:eastAsiaTheme="minorHAnsi"/>
        </w:rPr>
        <w:t xml:space="preserve"> (Hradec Kralove). 2021;64(3):183-186.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>: 10.14712/18059694.2021.31. PMID: 34779385.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ascii="Calibri" w:eastAsiaTheme="minorHAnsi" w:hAnsi="Calibri" w:cs="Calibri"/>
        </w:rPr>
        <w:t>Č</w:t>
      </w:r>
      <w:r w:rsidRPr="001C6F01">
        <w:rPr>
          <w:rFonts w:eastAsiaTheme="minorHAnsi"/>
        </w:rPr>
        <w:t>enš</w:t>
      </w:r>
      <w:r w:rsidRPr="001C6F01">
        <w:rPr>
          <w:rFonts w:ascii="Calibri" w:eastAsiaTheme="minorHAnsi" w:hAnsi="Calibri" w:cs="Calibri"/>
        </w:rPr>
        <w:t>č</w:t>
      </w:r>
      <w:r w:rsidRPr="001C6F01">
        <w:rPr>
          <w:rFonts w:eastAsiaTheme="minorHAnsi" w:hint="eastAsia"/>
        </w:rPr>
        <w:t>á</w:t>
      </w:r>
      <w:r w:rsidRPr="001C6F01">
        <w:rPr>
          <w:rFonts w:eastAsiaTheme="minorHAnsi"/>
        </w:rPr>
        <w:t>k</w:t>
      </w:r>
      <w:proofErr w:type="spellEnd"/>
      <w:r w:rsidRPr="001C6F01">
        <w:rPr>
          <w:rFonts w:eastAsiaTheme="minorHAnsi"/>
        </w:rPr>
        <w:t xml:space="preserve"> D, </w:t>
      </w:r>
      <w:proofErr w:type="spellStart"/>
      <w:r w:rsidRPr="001C6F01">
        <w:rPr>
          <w:rFonts w:eastAsiaTheme="minorHAnsi"/>
        </w:rPr>
        <w:t>Ungermann</w:t>
      </w:r>
      <w:proofErr w:type="spellEnd"/>
      <w:r w:rsidRPr="001C6F01">
        <w:rPr>
          <w:rFonts w:eastAsiaTheme="minorHAnsi"/>
        </w:rPr>
        <w:t xml:space="preserve"> L, </w:t>
      </w:r>
      <w:proofErr w:type="spellStart"/>
      <w:r w:rsidRPr="001C6F01">
        <w:rPr>
          <w:rFonts w:eastAsiaTheme="minorHAnsi"/>
        </w:rPr>
        <w:t>Št</w:t>
      </w:r>
      <w:r w:rsidRPr="001C6F01">
        <w:rPr>
          <w:rFonts w:ascii="Calibri" w:eastAsiaTheme="minorHAnsi" w:hAnsi="Calibri" w:cs="Calibri"/>
        </w:rPr>
        <w:t>ě</w:t>
      </w:r>
      <w:r w:rsidRPr="001C6F01">
        <w:rPr>
          <w:rFonts w:eastAsiaTheme="minorHAnsi"/>
        </w:rPr>
        <w:t>tká</w:t>
      </w:r>
      <w:r w:rsidRPr="001C6F01">
        <w:rPr>
          <w:rFonts w:ascii="Calibri" w:eastAsiaTheme="minorHAnsi" w:hAnsi="Calibri" w:cs="Calibri"/>
        </w:rPr>
        <w:t>ř</w:t>
      </w:r>
      <w:r w:rsidRPr="001C6F01">
        <w:rPr>
          <w:rFonts w:eastAsiaTheme="minorHAnsi"/>
        </w:rPr>
        <w:t>ová</w:t>
      </w:r>
      <w:proofErr w:type="spellEnd"/>
      <w:r w:rsidRPr="001C6F01">
        <w:rPr>
          <w:rFonts w:eastAsiaTheme="minorHAnsi"/>
        </w:rPr>
        <w:t xml:space="preserve"> I, </w:t>
      </w:r>
      <w:proofErr w:type="spellStart"/>
      <w:r w:rsidRPr="001C6F01">
        <w:rPr>
          <w:rFonts w:eastAsiaTheme="minorHAnsi"/>
        </w:rPr>
        <w:t>Ehler</w:t>
      </w:r>
      <w:proofErr w:type="spellEnd"/>
      <w:r w:rsidRPr="001C6F01">
        <w:rPr>
          <w:rFonts w:eastAsiaTheme="minorHAnsi"/>
        </w:rPr>
        <w:t xml:space="preserve"> E. </w:t>
      </w:r>
      <w:proofErr w:type="spellStart"/>
      <w:r w:rsidRPr="001C6F01">
        <w:rPr>
          <w:rFonts w:eastAsiaTheme="minorHAnsi"/>
        </w:rPr>
        <w:t>Guillan-Barré</w:t>
      </w:r>
      <w:proofErr w:type="spellEnd"/>
      <w:r w:rsidRPr="001C6F01">
        <w:rPr>
          <w:rFonts w:eastAsiaTheme="minorHAnsi"/>
        </w:rPr>
        <w:t xml:space="preserve"> Syndrome after First Vaccination Dose against COVID-19: Case Report. </w:t>
      </w:r>
      <w:proofErr w:type="spellStart"/>
      <w:r w:rsidRPr="001C6F01">
        <w:rPr>
          <w:rFonts w:eastAsiaTheme="minorHAnsi"/>
        </w:rPr>
        <w:t>Acta</w:t>
      </w:r>
      <w:proofErr w:type="spellEnd"/>
      <w:r w:rsidRPr="001C6F01">
        <w:rPr>
          <w:rFonts w:eastAsiaTheme="minorHAnsi"/>
        </w:rPr>
        <w:t xml:space="preserve"> </w:t>
      </w:r>
      <w:proofErr w:type="spellStart"/>
      <w:r w:rsidRPr="001C6F01">
        <w:rPr>
          <w:rFonts w:eastAsiaTheme="minorHAnsi"/>
        </w:rPr>
        <w:t>Medica</w:t>
      </w:r>
      <w:proofErr w:type="spellEnd"/>
      <w:r w:rsidRPr="001C6F01">
        <w:rPr>
          <w:rFonts w:eastAsiaTheme="minorHAnsi"/>
        </w:rPr>
        <w:t xml:space="preserve"> (Hradec Kralove). 2021;64(3):183-186.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>: 10.14712/18059694.2021.31. PMID: 34779385.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eastAsiaTheme="minorHAnsi"/>
        </w:rPr>
        <w:t>Queler</w:t>
      </w:r>
      <w:proofErr w:type="spellEnd"/>
      <w:r w:rsidRPr="001C6F01">
        <w:rPr>
          <w:rFonts w:eastAsiaTheme="minorHAnsi"/>
        </w:rPr>
        <w:t xml:space="preserve"> SC, </w:t>
      </w:r>
      <w:proofErr w:type="spellStart"/>
      <w:r w:rsidRPr="001C6F01">
        <w:rPr>
          <w:rFonts w:eastAsiaTheme="minorHAnsi"/>
        </w:rPr>
        <w:t>Towbin</w:t>
      </w:r>
      <w:proofErr w:type="spellEnd"/>
      <w:r w:rsidRPr="001C6F01">
        <w:rPr>
          <w:rFonts w:eastAsiaTheme="minorHAnsi"/>
        </w:rPr>
        <w:t xml:space="preserve"> AJ, Milani C, Whang J, </w:t>
      </w:r>
      <w:proofErr w:type="spellStart"/>
      <w:r w:rsidRPr="001C6F01">
        <w:rPr>
          <w:rFonts w:eastAsiaTheme="minorHAnsi"/>
        </w:rPr>
        <w:t>Sneag</w:t>
      </w:r>
      <w:proofErr w:type="spellEnd"/>
      <w:r w:rsidRPr="001C6F01">
        <w:rPr>
          <w:rFonts w:eastAsiaTheme="minorHAnsi"/>
        </w:rPr>
        <w:t xml:space="preserve"> DB. Parsonage-Turner Syndrome Following COVID-19 Vaccination: MR Neurography. Radiology. 2022 Jan;302(1):84-87.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 xml:space="preserve">: 10.1148/radiol.2021211374. </w:t>
      </w:r>
      <w:proofErr w:type="spellStart"/>
      <w:r w:rsidRPr="001C6F01">
        <w:rPr>
          <w:rFonts w:eastAsiaTheme="minorHAnsi"/>
        </w:rPr>
        <w:t>Epub</w:t>
      </w:r>
      <w:proofErr w:type="spellEnd"/>
      <w:r w:rsidRPr="001C6F01">
        <w:rPr>
          <w:rFonts w:eastAsiaTheme="minorHAnsi"/>
        </w:rPr>
        <w:t xml:space="preserve"> 2021 Aug 17. PMID: 34402669; PMCID: PMC8488809.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eastAsiaTheme="minorHAnsi"/>
        </w:rPr>
        <w:t>Queler</w:t>
      </w:r>
      <w:proofErr w:type="spellEnd"/>
      <w:r w:rsidRPr="001C6F01">
        <w:rPr>
          <w:rFonts w:eastAsiaTheme="minorHAnsi"/>
        </w:rPr>
        <w:t xml:space="preserve"> SC, </w:t>
      </w:r>
      <w:proofErr w:type="spellStart"/>
      <w:r w:rsidRPr="001C6F01">
        <w:rPr>
          <w:rFonts w:eastAsiaTheme="minorHAnsi"/>
        </w:rPr>
        <w:t>Towbin</w:t>
      </w:r>
      <w:proofErr w:type="spellEnd"/>
      <w:r w:rsidRPr="001C6F01">
        <w:rPr>
          <w:rFonts w:eastAsiaTheme="minorHAnsi"/>
        </w:rPr>
        <w:t xml:space="preserve"> AJ, Milani C, Whang J, </w:t>
      </w:r>
      <w:proofErr w:type="spellStart"/>
      <w:r w:rsidRPr="001C6F01">
        <w:rPr>
          <w:rFonts w:eastAsiaTheme="minorHAnsi"/>
        </w:rPr>
        <w:t>Sneag</w:t>
      </w:r>
      <w:proofErr w:type="spellEnd"/>
      <w:r w:rsidRPr="001C6F01">
        <w:rPr>
          <w:rFonts w:eastAsiaTheme="minorHAnsi"/>
        </w:rPr>
        <w:t xml:space="preserve"> DB. Parsonage-Turner Syndrome Following COVID-19 Vaccination: MR Neurography. Radiology. 2022 Jan;302(1):84-87.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 xml:space="preserve">: 10.1148/radiol.2021211374. </w:t>
      </w:r>
      <w:proofErr w:type="spellStart"/>
      <w:r w:rsidRPr="001C6F01">
        <w:rPr>
          <w:rFonts w:eastAsiaTheme="minorHAnsi"/>
        </w:rPr>
        <w:t>Epub</w:t>
      </w:r>
      <w:proofErr w:type="spellEnd"/>
      <w:r w:rsidRPr="001C6F01">
        <w:rPr>
          <w:rFonts w:eastAsiaTheme="minorHAnsi"/>
        </w:rPr>
        <w:t xml:space="preserve"> 2021 Aug 17. PMID: 34402669; PMCID: PMC8488809.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1C6F01">
        <w:rPr>
          <w:rFonts w:eastAsiaTheme="minorHAnsi"/>
        </w:rPr>
        <w:t xml:space="preserve">Sharma A, Gupta A. A Rare Case of Brachial Plexus Neuropraxia After COVID-19 Vaccination. </w:t>
      </w:r>
      <w:proofErr w:type="spellStart"/>
      <w:r w:rsidRPr="001C6F01">
        <w:rPr>
          <w:rFonts w:eastAsiaTheme="minorHAnsi"/>
        </w:rPr>
        <w:t>Cureus</w:t>
      </w:r>
      <w:proofErr w:type="spellEnd"/>
      <w:r w:rsidRPr="001C6F01">
        <w:rPr>
          <w:rFonts w:eastAsiaTheme="minorHAnsi"/>
        </w:rPr>
        <w:t>. 2022 Jan 14</w:t>
      </w:r>
      <w:proofErr w:type="gramStart"/>
      <w:r w:rsidRPr="001C6F01">
        <w:rPr>
          <w:rFonts w:eastAsiaTheme="minorHAnsi"/>
        </w:rPr>
        <w:t>;14</w:t>
      </w:r>
      <w:proofErr w:type="gramEnd"/>
      <w:r w:rsidRPr="001C6F01">
        <w:rPr>
          <w:rFonts w:eastAsiaTheme="minorHAnsi"/>
        </w:rPr>
        <w:t xml:space="preserve">(1):e21244. </w:t>
      </w:r>
      <w:proofErr w:type="spellStart"/>
      <w:proofErr w:type="gramStart"/>
      <w:r w:rsidRPr="001C6F01">
        <w:rPr>
          <w:rFonts w:eastAsiaTheme="minorHAnsi"/>
        </w:rPr>
        <w:t>doi</w:t>
      </w:r>
      <w:proofErr w:type="spellEnd"/>
      <w:proofErr w:type="gramEnd"/>
      <w:r w:rsidRPr="001C6F01">
        <w:rPr>
          <w:rFonts w:eastAsiaTheme="minorHAnsi"/>
        </w:rPr>
        <w:t>: 10.7759/cureus.21244. PMID: 35186534; PMCID: PMC8844251.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eastAsiaTheme="minorHAnsi"/>
        </w:rPr>
        <w:t>Tjoumakaris</w:t>
      </w:r>
      <w:proofErr w:type="spellEnd"/>
      <w:r w:rsidRPr="001C6F01">
        <w:rPr>
          <w:rFonts w:eastAsiaTheme="minorHAnsi"/>
        </w:rPr>
        <w:t xml:space="preserve"> FP, </w:t>
      </w:r>
      <w:proofErr w:type="spellStart"/>
      <w:r w:rsidRPr="001C6F01">
        <w:rPr>
          <w:rFonts w:eastAsiaTheme="minorHAnsi"/>
        </w:rPr>
        <w:t>Anakwenze</w:t>
      </w:r>
      <w:proofErr w:type="spellEnd"/>
      <w:r w:rsidRPr="001C6F01">
        <w:rPr>
          <w:rFonts w:eastAsiaTheme="minorHAnsi"/>
        </w:rPr>
        <w:t xml:space="preserve"> OA, </w:t>
      </w:r>
      <w:proofErr w:type="spellStart"/>
      <w:r w:rsidRPr="001C6F01">
        <w:rPr>
          <w:rFonts w:eastAsiaTheme="minorHAnsi"/>
        </w:rPr>
        <w:t>Kancherla</w:t>
      </w:r>
      <w:proofErr w:type="spellEnd"/>
      <w:r w:rsidRPr="001C6F01">
        <w:rPr>
          <w:rFonts w:eastAsiaTheme="minorHAnsi"/>
        </w:rPr>
        <w:t xml:space="preserve"> V, </w:t>
      </w:r>
      <w:proofErr w:type="spellStart"/>
      <w:r w:rsidRPr="001C6F01">
        <w:rPr>
          <w:rFonts w:eastAsiaTheme="minorHAnsi"/>
        </w:rPr>
        <w:t>Pulos</w:t>
      </w:r>
      <w:proofErr w:type="spellEnd"/>
      <w:r w:rsidRPr="001C6F01">
        <w:rPr>
          <w:rFonts w:eastAsiaTheme="minorHAnsi"/>
        </w:rPr>
        <w:t xml:space="preserve"> N. Neuralgic amyotrophy (Parsonage-Turner syndrome). J Am </w:t>
      </w:r>
      <w:proofErr w:type="spellStart"/>
      <w:r w:rsidRPr="001C6F01">
        <w:rPr>
          <w:rFonts w:eastAsiaTheme="minorHAnsi"/>
        </w:rPr>
        <w:t>Acad</w:t>
      </w:r>
      <w:proofErr w:type="spellEnd"/>
      <w:r w:rsidRPr="001C6F01">
        <w:rPr>
          <w:rFonts w:eastAsiaTheme="minorHAnsi"/>
        </w:rPr>
        <w:t xml:space="preserve"> </w:t>
      </w:r>
      <w:proofErr w:type="spellStart"/>
      <w:r w:rsidRPr="001C6F01">
        <w:rPr>
          <w:rFonts w:eastAsiaTheme="minorHAnsi"/>
        </w:rPr>
        <w:t>Orthop</w:t>
      </w:r>
      <w:proofErr w:type="spellEnd"/>
      <w:r w:rsidRPr="001C6F01">
        <w:rPr>
          <w:rFonts w:eastAsiaTheme="minorHAnsi"/>
        </w:rPr>
        <w:t xml:space="preserve"> Surg. 2012 Jul;20(7):443-9.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>: 10.5435/JAAOS-20-07-443. PMID: 22751163.</w:t>
      </w:r>
    </w:p>
    <w:p w:rsid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proofErr w:type="spellStart"/>
      <w:r w:rsidRPr="001C6F01">
        <w:rPr>
          <w:rFonts w:eastAsiaTheme="minorHAnsi"/>
        </w:rPr>
        <w:t>Vaccinatie</w:t>
      </w:r>
      <w:proofErr w:type="spellEnd"/>
      <w:r w:rsidRPr="001C6F01">
        <w:rPr>
          <w:rFonts w:eastAsiaTheme="minorHAnsi"/>
        </w:rPr>
        <w:t xml:space="preserve"> </w:t>
      </w:r>
      <w:proofErr w:type="spellStart"/>
      <w:r w:rsidRPr="001C6F01">
        <w:rPr>
          <w:rFonts w:eastAsiaTheme="minorHAnsi"/>
        </w:rPr>
        <w:t>en</w:t>
      </w:r>
      <w:proofErr w:type="spellEnd"/>
      <w:r w:rsidRPr="001C6F01">
        <w:rPr>
          <w:rFonts w:eastAsiaTheme="minorHAnsi"/>
        </w:rPr>
        <w:t xml:space="preserve"> het </w:t>
      </w:r>
      <w:proofErr w:type="spellStart"/>
      <w:r w:rsidRPr="001C6F01">
        <w:rPr>
          <w:rFonts w:eastAsiaTheme="minorHAnsi"/>
        </w:rPr>
        <w:t>syndroom</w:t>
      </w:r>
      <w:proofErr w:type="spellEnd"/>
      <w:r w:rsidRPr="001C6F01">
        <w:rPr>
          <w:rFonts w:eastAsiaTheme="minorHAnsi"/>
        </w:rPr>
        <w:t xml:space="preserve"> van Guillain-Barré [Vaccination and the </w:t>
      </w:r>
      <w:proofErr w:type="spellStart"/>
      <w:r w:rsidRPr="001C6F01">
        <w:rPr>
          <w:rFonts w:eastAsiaTheme="minorHAnsi"/>
        </w:rPr>
        <w:t>Guillan-Barré</w:t>
      </w:r>
      <w:proofErr w:type="spellEnd"/>
      <w:r w:rsidRPr="001C6F01">
        <w:rPr>
          <w:rFonts w:eastAsiaTheme="minorHAnsi"/>
        </w:rPr>
        <w:t xml:space="preserve"> syndrome]. Ned </w:t>
      </w:r>
      <w:proofErr w:type="spellStart"/>
      <w:r w:rsidRPr="001C6F01">
        <w:rPr>
          <w:rFonts w:eastAsiaTheme="minorHAnsi"/>
        </w:rPr>
        <w:t>Tijdschr</w:t>
      </w:r>
      <w:proofErr w:type="spellEnd"/>
      <w:r w:rsidRPr="001C6F01">
        <w:rPr>
          <w:rFonts w:eastAsiaTheme="minorHAnsi"/>
        </w:rPr>
        <w:t xml:space="preserve"> </w:t>
      </w:r>
      <w:proofErr w:type="spellStart"/>
      <w:r w:rsidRPr="001C6F01">
        <w:rPr>
          <w:rFonts w:eastAsiaTheme="minorHAnsi"/>
        </w:rPr>
        <w:t>Geneeskd</w:t>
      </w:r>
      <w:proofErr w:type="spellEnd"/>
      <w:r w:rsidRPr="001C6F01">
        <w:rPr>
          <w:rFonts w:eastAsiaTheme="minorHAnsi"/>
        </w:rPr>
        <w:t>. 1978 Nov 11;122(45):1780. Dutch. PMID: 703884.</w:t>
      </w:r>
    </w:p>
    <w:p w:rsidR="001C6F01" w:rsidRPr="001C6F01" w:rsidRDefault="001C6F01" w:rsidP="001C6F01">
      <w:pPr>
        <w:pStyle w:val="a7"/>
        <w:numPr>
          <w:ilvl w:val="0"/>
          <w:numId w:val="31"/>
        </w:numPr>
        <w:ind w:leftChars="0"/>
        <w:rPr>
          <w:rFonts w:eastAsiaTheme="minorHAnsi"/>
        </w:rPr>
      </w:pPr>
      <w:r w:rsidRPr="001C6F01">
        <w:rPr>
          <w:rFonts w:eastAsiaTheme="minorHAnsi"/>
        </w:rPr>
        <w:t xml:space="preserve">He Y, Bai X, Zhu T, Huang J, Zhang H. What can the neurological manifestations of COVID-19 tell us: a meta-analysis. J </w:t>
      </w:r>
      <w:proofErr w:type="spellStart"/>
      <w:r w:rsidRPr="001C6F01">
        <w:rPr>
          <w:rFonts w:eastAsiaTheme="minorHAnsi"/>
        </w:rPr>
        <w:t>Transl</w:t>
      </w:r>
      <w:proofErr w:type="spellEnd"/>
      <w:r w:rsidRPr="001C6F01">
        <w:rPr>
          <w:rFonts w:eastAsiaTheme="minorHAnsi"/>
        </w:rPr>
        <w:t xml:space="preserve"> Med. 2021 Aug 23;19(1):363. </w:t>
      </w:r>
      <w:proofErr w:type="spellStart"/>
      <w:r w:rsidRPr="001C6F01">
        <w:rPr>
          <w:rFonts w:eastAsiaTheme="minorHAnsi"/>
        </w:rPr>
        <w:t>doi</w:t>
      </w:r>
      <w:proofErr w:type="spellEnd"/>
      <w:r w:rsidRPr="001C6F01">
        <w:rPr>
          <w:rFonts w:eastAsiaTheme="minorHAnsi"/>
        </w:rPr>
        <w:t>: 10.1186/s12967-021-03039-2. PMID: 34425827; PMCID: PMC8381866.</w:t>
      </w:r>
    </w:p>
    <w:sectPr w:rsidR="001C6F01" w:rsidRPr="001C6F0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13" w:rsidRDefault="00501C13" w:rsidP="00B145F8">
      <w:pPr>
        <w:spacing w:after="0" w:line="240" w:lineRule="auto"/>
      </w:pPr>
      <w:r>
        <w:separator/>
      </w:r>
    </w:p>
  </w:endnote>
  <w:endnote w:type="continuationSeparator" w:id="0">
    <w:p w:rsidR="00501C13" w:rsidRDefault="00501C13" w:rsidP="00B1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80684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F1357" w:rsidRDefault="004F1357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A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A2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1357" w:rsidRDefault="004F13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13" w:rsidRDefault="00501C13" w:rsidP="00B145F8">
      <w:pPr>
        <w:spacing w:after="0" w:line="240" w:lineRule="auto"/>
      </w:pPr>
      <w:r>
        <w:separator/>
      </w:r>
    </w:p>
  </w:footnote>
  <w:footnote w:type="continuationSeparator" w:id="0">
    <w:p w:rsidR="00501C13" w:rsidRDefault="00501C13" w:rsidP="00B1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357" w:rsidRDefault="004F1357">
    <w:pPr>
      <w:pStyle w:val="a3"/>
    </w:pPr>
    <w:r>
      <w:rPr>
        <w:rFonts w:hint="eastAsia"/>
      </w:rPr>
      <w:t>[서식 01</w:t>
    </w:r>
    <w:r>
      <w:t>-2</w:t>
    </w:r>
    <w:r>
      <w:rPr>
        <w:rFonts w:hint="eastAsia"/>
      </w:rPr>
      <w:t>]</w:t>
    </w:r>
    <w:r>
      <w:t xml:space="preserve"> </w:t>
    </w:r>
    <w:r>
      <w:rPr>
        <w:rFonts w:hint="eastAsia"/>
      </w:rPr>
      <w:t xml:space="preserve">Version </w:t>
    </w:r>
    <w:r>
      <w:t>5.1</w:t>
    </w:r>
  </w:p>
  <w:p w:rsidR="004F1357" w:rsidRDefault="004F1357">
    <w:pPr>
      <w:pStyle w:val="a3"/>
    </w:pPr>
    <w:r>
      <w:rPr>
        <w:noProof/>
      </w:rPr>
      <w:drawing>
        <wp:inline distT="0" distB="0" distL="0" distR="0">
          <wp:extent cx="2030400" cy="324000"/>
          <wp:effectExtent l="0" t="0" r="825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4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BF2"/>
    <w:multiLevelType w:val="hybridMultilevel"/>
    <w:tmpl w:val="3E8CE156"/>
    <w:lvl w:ilvl="0" w:tplc="4EAA5084">
      <w:start w:val="1"/>
      <w:numFmt w:val="decimal"/>
      <w:lvlText w:val="%1)"/>
      <w:lvlJc w:val="left"/>
      <w:pPr>
        <w:ind w:left="683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" w15:restartNumberingAfterBreak="0">
    <w:nsid w:val="054A26C3"/>
    <w:multiLevelType w:val="hybridMultilevel"/>
    <w:tmpl w:val="E60AB146"/>
    <w:lvl w:ilvl="0" w:tplc="19DEA64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5248BE"/>
    <w:multiLevelType w:val="hybridMultilevel"/>
    <w:tmpl w:val="C8587EA4"/>
    <w:lvl w:ilvl="0" w:tplc="630E7ED4">
      <w:start w:val="12"/>
      <w:numFmt w:val="decimal"/>
      <w:lvlText w:val="%1."/>
      <w:lvlJc w:val="left"/>
      <w:pPr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AE2335"/>
    <w:multiLevelType w:val="hybridMultilevel"/>
    <w:tmpl w:val="6C0A2790"/>
    <w:lvl w:ilvl="0" w:tplc="0409000F">
      <w:start w:val="1"/>
      <w:numFmt w:val="decimal"/>
      <w:lvlText w:val="%1."/>
      <w:lvlJc w:val="left"/>
      <w:pPr>
        <w:ind w:left="4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47217EE"/>
    <w:multiLevelType w:val="hybridMultilevel"/>
    <w:tmpl w:val="31C2640E"/>
    <w:lvl w:ilvl="0" w:tplc="BA62F70C">
      <w:start w:val="1"/>
      <w:numFmt w:val="decimal"/>
      <w:lvlText w:val="(%1)"/>
      <w:lvlJc w:val="left"/>
      <w:pPr>
        <w:ind w:left="1186" w:hanging="360"/>
      </w:pPr>
      <w:rPr>
        <w:rFonts w:eastAsiaTheme="minorEastAsia" w:cs="Arial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16445FFE"/>
    <w:multiLevelType w:val="hybridMultilevel"/>
    <w:tmpl w:val="A03C971A"/>
    <w:lvl w:ilvl="0" w:tplc="49C464E8">
      <w:start w:val="11"/>
      <w:numFmt w:val="decimal"/>
      <w:lvlText w:val="%1.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F37A8B"/>
    <w:multiLevelType w:val="hybridMultilevel"/>
    <w:tmpl w:val="DFF091C0"/>
    <w:lvl w:ilvl="0" w:tplc="F976E2F8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70388A"/>
    <w:multiLevelType w:val="hybridMultilevel"/>
    <w:tmpl w:val="E16C67F2"/>
    <w:lvl w:ilvl="0" w:tplc="3738AA2E">
      <w:start w:val="1"/>
      <w:numFmt w:val="decimal"/>
      <w:lvlText w:val="%1)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C7B5296"/>
    <w:multiLevelType w:val="hybridMultilevel"/>
    <w:tmpl w:val="F4CA9456"/>
    <w:lvl w:ilvl="0" w:tplc="0E6A50C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11F58CA"/>
    <w:multiLevelType w:val="hybridMultilevel"/>
    <w:tmpl w:val="5CC8D5C8"/>
    <w:lvl w:ilvl="0" w:tplc="0032E91C">
      <w:start w:val="1"/>
      <w:numFmt w:val="decimal"/>
      <w:lvlText w:val="%1)"/>
      <w:lvlJc w:val="left"/>
      <w:pPr>
        <w:ind w:left="826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ACE6278"/>
    <w:multiLevelType w:val="hybridMultilevel"/>
    <w:tmpl w:val="AEEAD9FE"/>
    <w:lvl w:ilvl="0" w:tplc="3A449A78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B767983"/>
    <w:multiLevelType w:val="hybridMultilevel"/>
    <w:tmpl w:val="E7842F7A"/>
    <w:lvl w:ilvl="0" w:tplc="A0488296">
      <w:start w:val="5"/>
      <w:numFmt w:val="decimal"/>
      <w:lvlText w:val="%1."/>
      <w:lvlJc w:val="left"/>
      <w:pPr>
        <w:ind w:left="400" w:hanging="400"/>
      </w:pPr>
      <w:rPr>
        <w:rFonts w:hint="eastAsia"/>
        <w:b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C7B2FA6"/>
    <w:multiLevelType w:val="hybridMultilevel"/>
    <w:tmpl w:val="E4D6942E"/>
    <w:lvl w:ilvl="0" w:tplc="9C7A60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7D422D"/>
    <w:multiLevelType w:val="hybridMultilevel"/>
    <w:tmpl w:val="E0D607EE"/>
    <w:lvl w:ilvl="0" w:tplc="4EAA508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33015D8E"/>
    <w:multiLevelType w:val="hybridMultilevel"/>
    <w:tmpl w:val="AAD68824"/>
    <w:lvl w:ilvl="0" w:tplc="386043A6">
      <w:start w:val="1"/>
      <w:numFmt w:val="decimal"/>
      <w:lvlText w:val="%1."/>
      <w:lvlJc w:val="left"/>
      <w:pPr>
        <w:ind w:left="12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3323559"/>
    <w:multiLevelType w:val="hybridMultilevel"/>
    <w:tmpl w:val="85349E96"/>
    <w:lvl w:ilvl="0" w:tplc="49C464E8">
      <w:start w:val="11"/>
      <w:numFmt w:val="decimal"/>
      <w:lvlText w:val="%1.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991FAE"/>
    <w:multiLevelType w:val="hybridMultilevel"/>
    <w:tmpl w:val="6DE0967E"/>
    <w:lvl w:ilvl="0" w:tplc="D05E47A2">
      <w:start w:val="6"/>
      <w:numFmt w:val="bullet"/>
      <w:lvlText w:val=""/>
      <w:lvlJc w:val="left"/>
      <w:pPr>
        <w:ind w:left="15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3D6B0013"/>
    <w:multiLevelType w:val="hybridMultilevel"/>
    <w:tmpl w:val="3FD8904A"/>
    <w:lvl w:ilvl="0" w:tplc="E7E4D272">
      <w:start w:val="11"/>
      <w:numFmt w:val="decimal"/>
      <w:lvlText w:val="%1."/>
      <w:lvlJc w:val="left"/>
      <w:pPr>
        <w:ind w:left="400" w:hanging="400"/>
      </w:pPr>
      <w:rPr>
        <w:rFonts w:hint="eastAsia"/>
        <w:b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79217E"/>
    <w:multiLevelType w:val="hybridMultilevel"/>
    <w:tmpl w:val="FCAC1506"/>
    <w:lvl w:ilvl="0" w:tplc="03D2CFB6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498776BA"/>
    <w:multiLevelType w:val="hybridMultilevel"/>
    <w:tmpl w:val="2E246CF8"/>
    <w:lvl w:ilvl="0" w:tplc="386043A6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74596"/>
    <w:multiLevelType w:val="hybridMultilevel"/>
    <w:tmpl w:val="AC7804EA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5250021E"/>
    <w:multiLevelType w:val="hybridMultilevel"/>
    <w:tmpl w:val="ADBA5A3A"/>
    <w:lvl w:ilvl="0" w:tplc="4EAA508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53385CD9"/>
    <w:multiLevelType w:val="hybridMultilevel"/>
    <w:tmpl w:val="5E7E95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4E52ECF"/>
    <w:multiLevelType w:val="hybridMultilevel"/>
    <w:tmpl w:val="DA7A31CE"/>
    <w:lvl w:ilvl="0" w:tplc="386043A6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EE2193"/>
    <w:multiLevelType w:val="hybridMultilevel"/>
    <w:tmpl w:val="E0D607EE"/>
    <w:lvl w:ilvl="0" w:tplc="4EAA508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64B25C94"/>
    <w:multiLevelType w:val="hybridMultilevel"/>
    <w:tmpl w:val="1138FD3E"/>
    <w:lvl w:ilvl="0" w:tplc="A5EC00E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DD0D44"/>
    <w:multiLevelType w:val="hybridMultilevel"/>
    <w:tmpl w:val="A1747072"/>
    <w:lvl w:ilvl="0" w:tplc="8E66808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66F80A6D"/>
    <w:multiLevelType w:val="hybridMultilevel"/>
    <w:tmpl w:val="4FA85932"/>
    <w:lvl w:ilvl="0" w:tplc="4EAA508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6D0A597C"/>
    <w:multiLevelType w:val="hybridMultilevel"/>
    <w:tmpl w:val="08F86C50"/>
    <w:lvl w:ilvl="0" w:tplc="9F60BC04">
      <w:start w:val="1"/>
      <w:numFmt w:val="decimal"/>
      <w:lvlText w:val="%1)"/>
      <w:lvlJc w:val="left"/>
      <w:pPr>
        <w:ind w:left="1200" w:hanging="40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6E1A2D09"/>
    <w:multiLevelType w:val="hybridMultilevel"/>
    <w:tmpl w:val="BC26A7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640A3E"/>
    <w:multiLevelType w:val="hybridMultilevel"/>
    <w:tmpl w:val="566CEA54"/>
    <w:lvl w:ilvl="0" w:tplc="386043A6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1F7490"/>
    <w:multiLevelType w:val="hybridMultilevel"/>
    <w:tmpl w:val="8200B6C0"/>
    <w:lvl w:ilvl="0" w:tplc="A35CABF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7"/>
  </w:num>
  <w:num w:numId="3">
    <w:abstractNumId w:val="9"/>
  </w:num>
  <w:num w:numId="4">
    <w:abstractNumId w:val="22"/>
  </w:num>
  <w:num w:numId="5">
    <w:abstractNumId w:val="29"/>
  </w:num>
  <w:num w:numId="6">
    <w:abstractNumId w:val="11"/>
  </w:num>
  <w:num w:numId="7">
    <w:abstractNumId w:val="24"/>
  </w:num>
  <w:num w:numId="8">
    <w:abstractNumId w:val="21"/>
  </w:num>
  <w:num w:numId="9">
    <w:abstractNumId w:val="13"/>
  </w:num>
  <w:num w:numId="10">
    <w:abstractNumId w:val="17"/>
  </w:num>
  <w:num w:numId="11">
    <w:abstractNumId w:val="5"/>
  </w:num>
  <w:num w:numId="12">
    <w:abstractNumId w:val="28"/>
  </w:num>
  <w:num w:numId="13">
    <w:abstractNumId w:val="16"/>
  </w:num>
  <w:num w:numId="14">
    <w:abstractNumId w:val="30"/>
  </w:num>
  <w:num w:numId="15">
    <w:abstractNumId w:val="23"/>
  </w:num>
  <w:num w:numId="16">
    <w:abstractNumId w:val="15"/>
  </w:num>
  <w:num w:numId="17">
    <w:abstractNumId w:val="14"/>
  </w:num>
  <w:num w:numId="18">
    <w:abstractNumId w:val="19"/>
  </w:num>
  <w:num w:numId="19">
    <w:abstractNumId w:val="10"/>
  </w:num>
  <w:num w:numId="20">
    <w:abstractNumId w:val="2"/>
  </w:num>
  <w:num w:numId="21">
    <w:abstractNumId w:val="7"/>
  </w:num>
  <w:num w:numId="22">
    <w:abstractNumId w:val="20"/>
  </w:num>
  <w:num w:numId="23">
    <w:abstractNumId w:val="0"/>
  </w:num>
  <w:num w:numId="24">
    <w:abstractNumId w:val="6"/>
  </w:num>
  <w:num w:numId="25">
    <w:abstractNumId w:val="4"/>
  </w:num>
  <w:num w:numId="26">
    <w:abstractNumId w:val="26"/>
  </w:num>
  <w:num w:numId="27">
    <w:abstractNumId w:val="18"/>
  </w:num>
  <w:num w:numId="28">
    <w:abstractNumId w:val="25"/>
  </w:num>
  <w:num w:numId="29">
    <w:abstractNumId w:val="1"/>
  </w:num>
  <w:num w:numId="30">
    <w:abstractNumId w:val="31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F8"/>
    <w:rsid w:val="000213FF"/>
    <w:rsid w:val="00034090"/>
    <w:rsid w:val="0004516C"/>
    <w:rsid w:val="00045569"/>
    <w:rsid w:val="000B1D4A"/>
    <w:rsid w:val="000B2E5C"/>
    <w:rsid w:val="000B4FDA"/>
    <w:rsid w:val="000F3306"/>
    <w:rsid w:val="00130E74"/>
    <w:rsid w:val="0018520B"/>
    <w:rsid w:val="00194DFB"/>
    <w:rsid w:val="001A01D8"/>
    <w:rsid w:val="001B407E"/>
    <w:rsid w:val="001C129E"/>
    <w:rsid w:val="001C4BC1"/>
    <w:rsid w:val="001C6F01"/>
    <w:rsid w:val="001E519A"/>
    <w:rsid w:val="00267A26"/>
    <w:rsid w:val="002C1507"/>
    <w:rsid w:val="002F41F8"/>
    <w:rsid w:val="003E4A3F"/>
    <w:rsid w:val="003F0907"/>
    <w:rsid w:val="003F49C1"/>
    <w:rsid w:val="00431078"/>
    <w:rsid w:val="0044636D"/>
    <w:rsid w:val="00460082"/>
    <w:rsid w:val="00463B27"/>
    <w:rsid w:val="004F1357"/>
    <w:rsid w:val="00501C13"/>
    <w:rsid w:val="00510B26"/>
    <w:rsid w:val="005374EF"/>
    <w:rsid w:val="0058381F"/>
    <w:rsid w:val="005D3A6C"/>
    <w:rsid w:val="00607426"/>
    <w:rsid w:val="00614E29"/>
    <w:rsid w:val="00680384"/>
    <w:rsid w:val="006B6DA5"/>
    <w:rsid w:val="006D3D44"/>
    <w:rsid w:val="006E7D0A"/>
    <w:rsid w:val="006F26D5"/>
    <w:rsid w:val="006F5808"/>
    <w:rsid w:val="007314CE"/>
    <w:rsid w:val="00751C36"/>
    <w:rsid w:val="007A2D33"/>
    <w:rsid w:val="007E117D"/>
    <w:rsid w:val="007F136B"/>
    <w:rsid w:val="00824EE2"/>
    <w:rsid w:val="00826BCF"/>
    <w:rsid w:val="008328A5"/>
    <w:rsid w:val="00865108"/>
    <w:rsid w:val="00881905"/>
    <w:rsid w:val="008B73D8"/>
    <w:rsid w:val="008C029F"/>
    <w:rsid w:val="008E3EE9"/>
    <w:rsid w:val="008F420F"/>
    <w:rsid w:val="0092166E"/>
    <w:rsid w:val="00995345"/>
    <w:rsid w:val="009B2C8F"/>
    <w:rsid w:val="009C40A7"/>
    <w:rsid w:val="009F36A7"/>
    <w:rsid w:val="009F38C8"/>
    <w:rsid w:val="00A223A1"/>
    <w:rsid w:val="00A52B64"/>
    <w:rsid w:val="00A65ABE"/>
    <w:rsid w:val="00A70ED3"/>
    <w:rsid w:val="00A80D59"/>
    <w:rsid w:val="00B02B03"/>
    <w:rsid w:val="00B145F8"/>
    <w:rsid w:val="00B47CB0"/>
    <w:rsid w:val="00B8417C"/>
    <w:rsid w:val="00BB6ADD"/>
    <w:rsid w:val="00BE0E6A"/>
    <w:rsid w:val="00C52C76"/>
    <w:rsid w:val="00C755D5"/>
    <w:rsid w:val="00C91515"/>
    <w:rsid w:val="00CB5EC7"/>
    <w:rsid w:val="00CE481B"/>
    <w:rsid w:val="00D41690"/>
    <w:rsid w:val="00D4565A"/>
    <w:rsid w:val="00D50E58"/>
    <w:rsid w:val="00D5100F"/>
    <w:rsid w:val="00D556E9"/>
    <w:rsid w:val="00D613E9"/>
    <w:rsid w:val="00D638D1"/>
    <w:rsid w:val="00D87671"/>
    <w:rsid w:val="00DB02CC"/>
    <w:rsid w:val="00DB14D9"/>
    <w:rsid w:val="00E047C1"/>
    <w:rsid w:val="00E42124"/>
    <w:rsid w:val="00E70F9B"/>
    <w:rsid w:val="00ED19D3"/>
    <w:rsid w:val="00F05467"/>
    <w:rsid w:val="00F202E7"/>
    <w:rsid w:val="00F24D59"/>
    <w:rsid w:val="00F4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C13C"/>
  <w15:docId w15:val="{63B66D84-122F-4CAD-9DB1-6406ECD8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C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5F8"/>
  </w:style>
  <w:style w:type="paragraph" w:styleId="a4">
    <w:name w:val="footer"/>
    <w:basedOn w:val="a"/>
    <w:link w:val="Char0"/>
    <w:uiPriority w:val="99"/>
    <w:unhideWhenUsed/>
    <w:rsid w:val="00B14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5F8"/>
  </w:style>
  <w:style w:type="paragraph" w:styleId="a5">
    <w:name w:val="Balloon Text"/>
    <w:basedOn w:val="a"/>
    <w:link w:val="Char1"/>
    <w:uiPriority w:val="99"/>
    <w:semiHidden/>
    <w:unhideWhenUsed/>
    <w:rsid w:val="00B145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145F8"/>
    <w:rPr>
      <w:rFonts w:asciiTheme="majorHAnsi" w:eastAsiaTheme="majorEastAsia" w:hAnsiTheme="majorHAnsi" w:cstheme="majorBidi"/>
      <w:sz w:val="18"/>
      <w:szCs w:val="18"/>
    </w:rPr>
  </w:style>
  <w:style w:type="paragraph" w:customStyle="1" w:styleId="hstyle0">
    <w:name w:val="hstyle0"/>
    <w:basedOn w:val="a"/>
    <w:link w:val="hstyle0Char"/>
    <w:rsid w:val="00B145F8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6">
    <w:name w:val="No Spacing"/>
    <w:uiPriority w:val="1"/>
    <w:qFormat/>
    <w:rsid w:val="00B145F8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B145F8"/>
    <w:pPr>
      <w:ind w:leftChars="400" w:left="800"/>
    </w:pPr>
  </w:style>
  <w:style w:type="table" w:styleId="a8">
    <w:name w:val="Table Grid"/>
    <w:basedOn w:val="a1"/>
    <w:uiPriority w:val="59"/>
    <w:rsid w:val="0004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rsid w:val="00C9151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C91515"/>
    <w:pPr>
      <w:shd w:val="clear" w:color="auto" w:fill="FFFFFF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</w:rPr>
  </w:style>
  <w:style w:type="character" w:customStyle="1" w:styleId="bneawe">
    <w:name w:val="bneawe"/>
    <w:basedOn w:val="a0"/>
    <w:rsid w:val="001C129E"/>
  </w:style>
  <w:style w:type="character" w:customStyle="1" w:styleId="hstyle0Char">
    <w:name w:val="hstyle0 Char"/>
    <w:link w:val="hstyle0"/>
    <w:rsid w:val="002C1507"/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6300PRO</dc:creator>
  <cp:lastModifiedBy>Windows 사용자</cp:lastModifiedBy>
  <cp:revision>33</cp:revision>
  <cp:lastPrinted>2017-09-20T08:12:00Z</cp:lastPrinted>
  <dcterms:created xsi:type="dcterms:W3CDTF">2022-06-29T11:51:00Z</dcterms:created>
  <dcterms:modified xsi:type="dcterms:W3CDTF">2022-07-05T03:51:00Z</dcterms:modified>
</cp:coreProperties>
</file>