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PLANTILLA DE ENTREGA ACADÉMICA</w:t>
      </w:r>
    </w:p>
    <w:p/>
    <w:p/>
    <w:p>
      <w:pPr>
        <w:jc w:val="center"/>
      </w:pPr>
      <w:r>
        <w:rPr>
          <w:rFonts w:ascii="Arial" w:hAnsi="Arial"/>
          <w:b/>
          <w:sz w:val="44"/>
        </w:rPr>
        <w:t>Anexo de cálculos y trazabilidad</w:t>
      </w:r>
    </w:p>
    <w:p>
      <w:pPr>
        <w:jc w:val="center"/>
      </w:pPr>
      <w:r>
        <w:rPr>
          <w:rFonts w:ascii="Arial" w:hAnsi="Arial"/>
          <w:i/>
          <w:sz w:val="22"/>
        </w:rPr>
        <w:t>Protocolo Titán — Anexo de cálculos</w:t>
      </w:r>
    </w:p>
    <w:p>
      <w:pPr>
        <w:jc w:val="center"/>
      </w:pPr>
      <w:r>
        <w:rPr>
          <w:rFonts w:ascii="Arial" w:hAnsi="Arial"/>
          <w:sz w:val="20"/>
        </w:rPr>
        <w:t>Análisis técnico de una red GSM/EDGE táctica para movilidad extrema, planificación espectral y certificación instrumental.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Centro / Universidad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Asignatura / Módulo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Titulación / Grupo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Autor / Equipo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Docente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Fecha de entrega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14/05/2026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Versión del documento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v1.0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2"/>
        </w:rPr>
        <w:t>Datos de entrega y revisión final</w:t>
      </w:r>
    </w:p>
    <w:p>
      <w:pPr>
        <w:pStyle w:val="ListBullet"/>
      </w:pPr>
      <w:r>
        <w:rPr>
          <w:rFonts w:ascii="Arial" w:hAnsi="Arial"/>
        </w:rPr>
        <w:t>Revisar portada, índice, numeración y formato de referencias antes de exportar la versión final.</w:t>
      </w:r>
    </w:p>
    <w:p>
      <w:pPr>
        <w:pStyle w:val="ListBullet"/>
      </w:pPr>
      <w:r>
        <w:rPr>
          <w:rFonts w:ascii="Arial" w:hAnsi="Arial"/>
        </w:rPr>
        <w:t>Verificar que las figuras insertadas mantengan legibilidad en PDF y en impresión.</w:t>
      </w:r>
    </w:p>
    <w:p>
      <w:pPr>
        <w:pStyle w:val="ListBullet"/>
      </w:pPr>
      <w:r>
        <w:rPr>
          <w:rFonts w:ascii="Arial" w:hAnsi="Arial"/>
        </w:rPr>
        <w:t>Sustituir los campos [Completar] por los datos reales del grupo o del estudiante.</w:t>
      </w:r>
    </w:p>
    <w:p>
      <w:r>
        <w:br w:type="page"/>
      </w:r>
    </w:p>
    <w:p>
      <w:pPr>
        <w:pStyle w:val="Heading1"/>
      </w:pPr>
      <w:r>
        <w:t>A.1 Parámetros base utilizados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cell_radius_km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carrier_frequency_mhz</w:t>
            </w:r>
          </w:p>
        </w:tc>
        <w:tc>
          <w:tcPr>
            <w:tcW w:type="dxa" w:w="3249"/>
          </w:tcPr>
          <w:p>
            <w:r>
              <w:rPr>
                <w:b/>
              </w:rPr>
              <w:t>gsm_timeslot_ms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900</w:t>
            </w:r>
          </w:p>
        </w:tc>
        <w:tc>
          <w:tcPr>
            <w:tcW w:type="dxa" w:w="3249"/>
          </w:tcPr>
          <w:p>
            <w:r>
              <w:t>0.577</w:t>
            </w:r>
          </w:p>
        </w:tc>
      </w:tr>
    </w:tbl>
    <w:p>
      <w:pPr>
        <w:pStyle w:val="Heading1"/>
      </w:pPr>
      <w:r>
        <w:t>A.2 Desarrollo detallado del escenario A</w:t>
      </w:r>
    </w:p>
    <w:p>
      <w:pPr>
        <w:pStyle w:val="Heading3"/>
      </w:pPr>
      <w:r>
        <w:t>Caso 50 km/h</w:t>
      </w:r>
    </w:p>
    <w:p>
      <w:pPr>
        <w:pStyle w:val="ListNumber"/>
      </w:pPr>
      <w:r>
        <w:t xml:space="preserve">Conversión de velocidad: </w:t>
      </w:r>
      <w:r>
        <w:rPr>
          <w:rFonts w:ascii="Courier New" w:hAnsi="Courier New"/>
        </w:rPr>
        <w:t>v = 50 / 3.6 = 13.8889 m/s</w:t>
      </w:r>
      <w:r>
        <w:t>.</w:t>
      </w:r>
    </w:p>
    <w:p>
      <w:pPr>
        <w:pStyle w:val="ListNumber"/>
      </w:pPr>
      <w:r>
        <w:t xml:space="preserve">Desviación Doppler máxima: </w:t>
      </w:r>
      <w:r>
        <w:rPr>
          <w:rFonts w:ascii="Courier New" w:hAnsi="Courier New"/>
        </w:rPr>
        <w:t>f_d = v · f_c / c = 13.8889 · 900e6 / 3e8 = 41.6667 Hz</w:t>
      </w:r>
      <w:r>
        <w:t>.</w:t>
      </w:r>
    </w:p>
    <w:p>
      <w:pPr>
        <w:pStyle w:val="ListNumber"/>
      </w:pPr>
      <w:r>
        <w:t xml:space="preserve">Tiempo de coherencia: </w:t>
      </w:r>
      <w:r>
        <w:rPr>
          <w:rFonts w:ascii="Courier New" w:hAnsi="Courier New"/>
        </w:rPr>
        <w:t>T_c ≈ 0.423 / f_d = 0.423 / 41.6667 = 0.010152 s = 10.152 ms</w:t>
      </w:r>
      <w:r>
        <w:t>.</w:t>
      </w:r>
    </w:p>
    <w:p>
      <w:pPr>
        <w:pStyle w:val="ListNumber"/>
      </w:pPr>
      <w:r>
        <w:t xml:space="preserve">Comparación con el timeslot GSM: </w:t>
      </w:r>
      <w:r>
        <w:rPr>
          <w:rFonts w:ascii="Courier New" w:hAnsi="Courier New"/>
        </w:rPr>
        <w:t>T_c / T_slot = 10.152 / 0.577 = 17.5945</w:t>
      </w:r>
      <w:r>
        <w:t>.</w:t>
      </w:r>
    </w:p>
    <w:p>
      <w:r>
        <w:t xml:space="preserve">Interpretación: el canal se clasifica como </w:t>
      </w:r>
      <w:r>
        <w:rPr>
          <w:b/>
        </w:rPr>
        <w:t>cuasiestatico</w:t>
      </w:r>
      <w:r>
        <w:t>. Por tanto, la ráfaga puede considerarse cuasiestática o estable dentro del timeslot, pero la robustez del enlace sigue dependiendo de codificación, entrelazado y margen de diseño.</w:t>
      </w:r>
    </w:p>
    <w:p>
      <w:r>
        <w:t>Mini conclusión parcial: la movilidad extrema incrementa el Doppler y reduce el tiempo de coherencia; sin embargo, con los parámetros base el canal sigue siendo manejable dentro de una ráfaga GSM.</w:t>
      </w:r>
    </w:p>
    <w:p>
      <w:pPr>
        <w:pStyle w:val="Heading3"/>
      </w:pPr>
      <w:r>
        <w:t>Caso 250 km/h</w:t>
      </w:r>
    </w:p>
    <w:p>
      <w:pPr>
        <w:pStyle w:val="ListNumber"/>
      </w:pPr>
      <w:r>
        <w:t xml:space="preserve">Conversión de velocidad: </w:t>
      </w:r>
      <w:r>
        <w:rPr>
          <w:rFonts w:ascii="Courier New" w:hAnsi="Courier New"/>
        </w:rPr>
        <w:t>v = 250 / 3.6 = 69.4444 m/s</w:t>
      </w:r>
      <w:r>
        <w:t>.</w:t>
      </w:r>
    </w:p>
    <w:p>
      <w:pPr>
        <w:pStyle w:val="ListNumber"/>
      </w:pPr>
      <w:r>
        <w:t xml:space="preserve">Desviación Doppler máxima: </w:t>
      </w:r>
      <w:r>
        <w:rPr>
          <w:rFonts w:ascii="Courier New" w:hAnsi="Courier New"/>
        </w:rPr>
        <w:t>f_d = v · f_c / c = 69.4444 · 900e6 / 3e8 = 208.3333 Hz</w:t>
      </w:r>
      <w:r>
        <w:t>.</w:t>
      </w:r>
    </w:p>
    <w:p>
      <w:pPr>
        <w:pStyle w:val="ListNumber"/>
      </w:pPr>
      <w:r>
        <w:t xml:space="preserve">Tiempo de coherencia: </w:t>
      </w:r>
      <w:r>
        <w:rPr>
          <w:rFonts w:ascii="Courier New" w:hAnsi="Courier New"/>
        </w:rPr>
        <w:t>T_c ≈ 0.423 / f_d = 0.423 / 208.3333 = 0.00203 s = 2.0304 ms</w:t>
      </w:r>
      <w:r>
        <w:t>.</w:t>
      </w:r>
    </w:p>
    <w:p>
      <w:pPr>
        <w:pStyle w:val="ListNumber"/>
      </w:pPr>
      <w:r>
        <w:t xml:space="preserve">Comparación con el timeslot GSM: </w:t>
      </w:r>
      <w:r>
        <w:rPr>
          <w:rFonts w:ascii="Courier New" w:hAnsi="Courier New"/>
        </w:rPr>
        <w:t>T_c / T_slot = 2.0304 / 0.577 = 3.5189</w:t>
      </w:r>
      <w:r>
        <w:t>.</w:t>
      </w:r>
    </w:p>
    <w:p>
      <w:r>
        <w:t xml:space="preserve">Interpretación: el canal se clasifica como </w:t>
      </w:r>
      <w:r>
        <w:rPr>
          <w:b/>
        </w:rPr>
        <w:t>estable_con_margen_reducido</w:t>
      </w:r>
      <w:r>
        <w:t>. Por tanto, la ráfaga puede considerarse cuasiestática o estable dentro del timeslot, pero la robustez del enlace sigue dependiendo de codificación, entrelazado y margen de diseño.</w:t>
      </w:r>
    </w:p>
    <w:p>
      <w:r>
        <w:t>Mini conclusión parcial: la movilidad extrema incrementa el Doppler y reduce el tiempo de coherencia; sin embargo, con los parámetros base el canal sigue siendo manejable dentro de una ráfaga GSM.</w:t>
      </w:r>
    </w:p>
    <w:p>
      <w:pPr>
        <w:pStyle w:val="Heading1"/>
      </w:pPr>
      <w:r>
        <w:t>A.3 Métricas de fading exportadas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3"/>
          </w:tcPr>
          <w:p>
            <w:r>
              <w:rPr>
                <w:b/>
              </w:rPr>
              <w:t>doppler_hz</w:t>
            </w:r>
          </w:p>
        </w:tc>
        <w:tc>
          <w:tcPr>
            <w:tcW w:type="dxa" w:w="1083"/>
          </w:tcPr>
          <w:p>
            <w:r>
              <w:rPr>
                <w:b/>
              </w:rPr>
              <w:t>envelope_min</w:t>
            </w:r>
          </w:p>
        </w:tc>
        <w:tc>
          <w:tcPr>
            <w:tcW w:type="dxa" w:w="1083"/>
          </w:tcPr>
          <w:p>
            <w:r>
              <w:rPr>
                <w:b/>
              </w:rPr>
              <w:t>envelope_max</w:t>
            </w:r>
          </w:p>
        </w:tc>
        <w:tc>
          <w:tcPr>
            <w:tcW w:type="dxa" w:w="1083"/>
          </w:tcPr>
          <w:p>
            <w:r>
              <w:rPr>
                <w:b/>
              </w:rPr>
              <w:t>envelope_std</w:t>
            </w:r>
          </w:p>
        </w:tc>
        <w:tc>
          <w:tcPr>
            <w:tcW w:type="dxa" w:w="1083"/>
          </w:tcPr>
          <w:p>
            <w:r>
              <w:rPr>
                <w:b/>
              </w:rPr>
              <w:t>relative_peak_to_peak</w:t>
            </w:r>
          </w:p>
        </w:tc>
        <w:tc>
          <w:tcPr>
            <w:tcW w:type="dxa" w:w="1083"/>
          </w:tcPr>
          <w:p>
            <w:r>
              <w:rPr>
                <w:b/>
              </w:rPr>
              <w:t>speed_kmh</w:t>
            </w:r>
          </w:p>
        </w:tc>
        <w:tc>
          <w:tcPr>
            <w:tcW w:type="dxa" w:w="1083"/>
          </w:tcPr>
          <w:p>
            <w:r>
              <w:rPr>
                <w:b/>
              </w:rPr>
              <w:t>coherence_time_ms</w:t>
            </w:r>
          </w:p>
        </w:tc>
        <w:tc>
          <w:tcPr>
            <w:tcW w:type="dxa" w:w="1083"/>
          </w:tcPr>
          <w:p>
            <w:r>
              <w:rPr>
                <w:b/>
              </w:rPr>
              <w:t>stability_class</w:t>
            </w:r>
          </w:p>
        </w:tc>
      </w:tr>
      <w:tr>
        <w:tc>
          <w:tcPr>
            <w:tcW w:type="dxa" w:w="1083"/>
          </w:tcPr>
          <w:p>
            <w:r>
              <w:t>rayleigh</w:t>
            </w:r>
          </w:p>
        </w:tc>
        <w:tc>
          <w:tcPr>
            <w:tcW w:type="dxa" w:w="1083"/>
          </w:tcPr>
          <w:p>
            <w:r>
              <w:t>41.6667</w:t>
            </w:r>
          </w:p>
        </w:tc>
        <w:tc>
          <w:tcPr>
            <w:tcW w:type="dxa" w:w="1083"/>
          </w:tcPr>
          <w:p>
            <w:r>
              <w:t>0.00894961</w:t>
            </w:r>
          </w:p>
        </w:tc>
        <w:tc>
          <w:tcPr>
            <w:tcW w:type="dxa" w:w="1083"/>
          </w:tcPr>
          <w:p>
            <w:r>
              <w:t>3.32166</w:t>
            </w:r>
          </w:p>
        </w:tc>
        <w:tc>
          <w:tcPr>
            <w:tcW w:type="dxa" w:w="1083"/>
          </w:tcPr>
          <w:p>
            <w:r>
              <w:t>0.586993</w:t>
            </w:r>
          </w:p>
        </w:tc>
        <w:tc>
          <w:tcPr>
            <w:tcW w:type="dxa" w:w="1083"/>
          </w:tcPr>
          <w:p>
            <w:r>
              <w:t>3.31271</w:t>
            </w:r>
          </w:p>
        </w:tc>
        <w:tc>
          <w:tcPr>
            <w:tcW w:type="dxa" w:w="1083"/>
          </w:tcPr>
          <w:p>
            <w:r>
              <w:t>50</w:t>
            </w:r>
          </w:p>
        </w:tc>
        <w:tc>
          <w:tcPr>
            <w:tcW w:type="dxa" w:w="1083"/>
          </w:tcPr>
          <w:p>
            <w:r>
              <w:t>10.152</w:t>
            </w:r>
          </w:p>
        </w:tc>
        <w:tc>
          <w:tcPr>
            <w:tcW w:type="dxa" w:w="1083"/>
          </w:tcPr>
          <w:p>
            <w:r>
              <w:t>cuasiestatico</w:t>
            </w:r>
          </w:p>
        </w:tc>
      </w:tr>
      <w:tr>
        <w:tc>
          <w:tcPr>
            <w:tcW w:type="dxa" w:w="1083"/>
          </w:tcPr>
          <w:p>
            <w:r>
              <w:t>rician</w:t>
            </w:r>
          </w:p>
        </w:tc>
        <w:tc>
          <w:tcPr>
            <w:tcW w:type="dxa" w:w="1083"/>
          </w:tcPr>
          <w:p>
            <w:r>
              <w:t>41.6667</w:t>
            </w:r>
          </w:p>
        </w:tc>
        <w:tc>
          <w:tcPr>
            <w:tcW w:type="dxa" w:w="1083"/>
          </w:tcPr>
          <w:p>
            <w:r>
              <w:t>0.734056</w:t>
            </w:r>
          </w:p>
        </w:tc>
        <w:tc>
          <w:tcPr>
            <w:tcW w:type="dxa" w:w="1083"/>
          </w:tcPr>
          <w:p>
            <w:r>
              <w:t>1.25486</w:t>
            </w:r>
          </w:p>
        </w:tc>
        <w:tc>
          <w:tcPr>
            <w:tcW w:type="dxa" w:w="1083"/>
          </w:tcPr>
          <w:p>
            <w:r>
              <w:t>0.100871</w:t>
            </w:r>
          </w:p>
        </w:tc>
        <w:tc>
          <w:tcPr>
            <w:tcW w:type="dxa" w:w="1083"/>
          </w:tcPr>
          <w:p>
            <w:r>
              <w:t>0.5208</w:t>
            </w:r>
          </w:p>
        </w:tc>
        <w:tc>
          <w:tcPr>
            <w:tcW w:type="dxa" w:w="1083"/>
          </w:tcPr>
          <w:p>
            <w:r>
              <w:t>50</w:t>
            </w:r>
          </w:p>
        </w:tc>
        <w:tc>
          <w:tcPr>
            <w:tcW w:type="dxa" w:w="1083"/>
          </w:tcPr>
          <w:p>
            <w:r>
              <w:t>10.152</w:t>
            </w:r>
          </w:p>
        </w:tc>
        <w:tc>
          <w:tcPr>
            <w:tcW w:type="dxa" w:w="1083"/>
          </w:tcPr>
          <w:p>
            <w:r>
              <w:t>cuasiestatico</w:t>
            </w:r>
          </w:p>
        </w:tc>
      </w:tr>
      <w:tr>
        <w:tc>
          <w:tcPr>
            <w:tcW w:type="dxa" w:w="1083"/>
          </w:tcPr>
          <w:p>
            <w:r>
              <w:t>rayleigh</w:t>
            </w:r>
          </w:p>
        </w:tc>
        <w:tc>
          <w:tcPr>
            <w:tcW w:type="dxa" w:w="1083"/>
          </w:tcPr>
          <w:p>
            <w:r>
              <w:t>208.333</w:t>
            </w:r>
          </w:p>
        </w:tc>
        <w:tc>
          <w:tcPr>
            <w:tcW w:type="dxa" w:w="1083"/>
          </w:tcPr>
          <w:p>
            <w:r>
              <w:t>0.145474</w:t>
            </w:r>
          </w:p>
        </w:tc>
        <w:tc>
          <w:tcPr>
            <w:tcW w:type="dxa" w:w="1083"/>
          </w:tcPr>
          <w:p>
            <w:r>
              <w:t>3.0415</w:t>
            </w:r>
          </w:p>
        </w:tc>
        <w:tc>
          <w:tcPr>
            <w:tcW w:type="dxa" w:w="1083"/>
          </w:tcPr>
          <w:p>
            <w:r>
              <w:t>0.453328</w:t>
            </w:r>
          </w:p>
        </w:tc>
        <w:tc>
          <w:tcPr>
            <w:tcW w:type="dxa" w:w="1083"/>
          </w:tcPr>
          <w:p>
            <w:r>
              <w:t>2.89602</w:t>
            </w:r>
          </w:p>
        </w:tc>
        <w:tc>
          <w:tcPr>
            <w:tcW w:type="dxa" w:w="1083"/>
          </w:tcPr>
          <w:p>
            <w:r>
              <w:t>250</w:t>
            </w:r>
          </w:p>
        </w:tc>
        <w:tc>
          <w:tcPr>
            <w:tcW w:type="dxa" w:w="1083"/>
          </w:tcPr>
          <w:p>
            <w:r>
              <w:t>2.0304</w:t>
            </w:r>
          </w:p>
        </w:tc>
        <w:tc>
          <w:tcPr>
            <w:tcW w:type="dxa" w:w="1083"/>
          </w:tcPr>
          <w:p>
            <w:r>
              <w:t>estable_con_margen_reducido</w:t>
            </w:r>
          </w:p>
        </w:tc>
      </w:tr>
      <w:tr>
        <w:tc>
          <w:tcPr>
            <w:tcW w:type="dxa" w:w="1083"/>
          </w:tcPr>
          <w:p>
            <w:r>
              <w:t>rician</w:t>
            </w:r>
          </w:p>
        </w:tc>
        <w:tc>
          <w:tcPr>
            <w:tcW w:type="dxa" w:w="1083"/>
          </w:tcPr>
          <w:p>
            <w:r>
              <w:t>208.333</w:t>
            </w:r>
          </w:p>
        </w:tc>
        <w:tc>
          <w:tcPr>
            <w:tcW w:type="dxa" w:w="1083"/>
          </w:tcPr>
          <w:p>
            <w:r>
              <w:t>0.694197</w:t>
            </w:r>
          </w:p>
        </w:tc>
        <w:tc>
          <w:tcPr>
            <w:tcW w:type="dxa" w:w="1083"/>
          </w:tcPr>
          <w:p>
            <w:r>
              <w:t>1.2311</w:t>
            </w:r>
          </w:p>
        </w:tc>
        <w:tc>
          <w:tcPr>
            <w:tcW w:type="dxa" w:w="1083"/>
          </w:tcPr>
          <w:p>
            <w:r>
              <w:t>0.105082</w:t>
            </w:r>
          </w:p>
        </w:tc>
        <w:tc>
          <w:tcPr>
            <w:tcW w:type="dxa" w:w="1083"/>
          </w:tcPr>
          <w:p>
            <w:r>
              <w:t>0.536901</w:t>
            </w:r>
          </w:p>
        </w:tc>
        <w:tc>
          <w:tcPr>
            <w:tcW w:type="dxa" w:w="1083"/>
          </w:tcPr>
          <w:p>
            <w:r>
              <w:t>250</w:t>
            </w:r>
          </w:p>
        </w:tc>
        <w:tc>
          <w:tcPr>
            <w:tcW w:type="dxa" w:w="1083"/>
          </w:tcPr>
          <w:p>
            <w:r>
              <w:t>2.0304</w:t>
            </w:r>
          </w:p>
        </w:tc>
        <w:tc>
          <w:tcPr>
            <w:tcW w:type="dxa" w:w="1083"/>
          </w:tcPr>
          <w:p>
            <w:r>
              <w:t>estable_con_margen_reducido</w:t>
            </w:r>
          </w:p>
        </w:tc>
      </w:tr>
    </w:tbl>
    <w:p>
      <w:pPr>
        <w:pStyle w:val="Heading1"/>
      </w:pPr>
      <w:r>
        <w:t>A.4 Planificación celular y asignación de ARFCNs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975"/>
          </w:tcPr>
          <w:p>
            <w:r>
              <w:rPr>
                <w:b/>
              </w:rPr>
              <w:t>cell</w:t>
            </w:r>
          </w:p>
        </w:tc>
        <w:tc>
          <w:tcPr>
            <w:tcW w:type="dxa" w:w="975"/>
          </w:tcPr>
          <w:p>
            <w:r>
              <w:rPr>
                <w:b/>
              </w:rPr>
              <w:t>cell_radius_km</w:t>
            </w:r>
          </w:p>
        </w:tc>
        <w:tc>
          <w:tcPr>
            <w:tcW w:type="dxa" w:w="975"/>
          </w:tcPr>
          <w:p>
            <w:r>
              <w:rPr>
                <w:b/>
              </w:rPr>
              <w:t>cluster_size_N</w:t>
            </w:r>
          </w:p>
        </w:tc>
        <w:tc>
          <w:tcPr>
            <w:tcW w:type="dxa" w:w="975"/>
          </w:tcPr>
          <w:p>
            <w:r>
              <w:rPr>
                <w:b/>
              </w:rPr>
              <w:t>total_carriers</w:t>
            </w:r>
          </w:p>
        </w:tc>
        <w:tc>
          <w:tcPr>
            <w:tcW w:type="dxa" w:w="975"/>
          </w:tcPr>
          <w:p>
            <w:r>
              <w:rPr>
                <w:b/>
              </w:rPr>
              <w:t>carriers_per_cell</w:t>
            </w:r>
          </w:p>
        </w:tc>
        <w:tc>
          <w:tcPr>
            <w:tcW w:type="dxa" w:w="975"/>
          </w:tcPr>
          <w:p>
            <w:r>
              <w:rPr>
                <w:b/>
              </w:rPr>
              <w:t>arfcn_range</w:t>
            </w:r>
          </w:p>
        </w:tc>
        <w:tc>
          <w:tcPr>
            <w:tcW w:type="dxa" w:w="975"/>
          </w:tcPr>
          <w:p>
            <w:r>
              <w:rPr>
                <w:b/>
              </w:rPr>
              <w:t>arfcn_list</w:t>
            </w:r>
          </w:p>
        </w:tc>
        <w:tc>
          <w:tcPr>
            <w:tcW w:type="dxa" w:w="975"/>
          </w:tcPr>
          <w:p>
            <w:r>
              <w:rPr>
                <w:b/>
              </w:rPr>
              <w:t>reuse_ratio_D_over_R</w:t>
            </w:r>
          </w:p>
        </w:tc>
        <w:tc>
          <w:tcPr>
            <w:tcW w:type="dxa" w:w="975"/>
          </w:tcPr>
          <w:p>
            <w:r>
              <w:rPr>
                <w:b/>
              </w:rPr>
              <w:t>reuse_distance_km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A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1-6</w:t>
            </w:r>
          </w:p>
        </w:tc>
        <w:tc>
          <w:tcPr>
            <w:tcW w:type="dxa" w:w="975"/>
          </w:tcPr>
          <w:p>
            <w:r>
              <w:t>1, 2, 3, 4, 5, 6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B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7-12</w:t>
            </w:r>
          </w:p>
        </w:tc>
        <w:tc>
          <w:tcPr>
            <w:tcW w:type="dxa" w:w="975"/>
          </w:tcPr>
          <w:p>
            <w:r>
              <w:t>7, 8, 9, 10, 11, 12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C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13-18</w:t>
            </w:r>
          </w:p>
        </w:tc>
        <w:tc>
          <w:tcPr>
            <w:tcW w:type="dxa" w:w="975"/>
          </w:tcPr>
          <w:p>
            <w:r>
              <w:t>13, 14, 15, 16, 17, 18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D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19-24</w:t>
            </w:r>
          </w:p>
        </w:tc>
        <w:tc>
          <w:tcPr>
            <w:tcW w:type="dxa" w:w="975"/>
          </w:tcPr>
          <w:p>
            <w:r>
              <w:t>19, 20, 21, 22, 23, 24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  <w:t>cell</w:t>
            </w:r>
          </w:p>
        </w:tc>
        <w:tc>
          <w:tcPr>
            <w:tcW w:type="dxa" w:w="1392"/>
          </w:tcPr>
          <w:p>
            <w:r>
              <w:rPr>
                <w:b/>
              </w:rPr>
              <w:t>arfcn</w:t>
            </w:r>
          </w:p>
        </w:tc>
        <w:tc>
          <w:tcPr>
            <w:tcW w:type="dxa" w:w="1392"/>
          </w:tcPr>
          <w:p>
            <w:r>
              <w:rPr>
                <w:b/>
              </w:rPr>
              <w:t>carrier_role</w:t>
            </w:r>
          </w:p>
        </w:tc>
        <w:tc>
          <w:tcPr>
            <w:tcW w:type="dxa" w:w="1392"/>
          </w:tcPr>
          <w:p>
            <w:r>
              <w:rPr>
                <w:b/>
              </w:rPr>
              <w:t>frequency_hopping_recommended</w:t>
            </w:r>
          </w:p>
        </w:tc>
        <w:tc>
          <w:tcPr>
            <w:tcW w:type="dxa" w:w="1392"/>
          </w:tcPr>
          <w:p>
            <w:r>
              <w:rPr>
                <w:b/>
              </w:rPr>
              <w:t>power_policy</w:t>
            </w:r>
          </w:p>
        </w:tc>
        <w:tc>
          <w:tcPr>
            <w:tcW w:type="dxa" w:w="1392"/>
          </w:tcPr>
          <w:p>
            <w:r>
              <w:rPr>
                <w:b/>
              </w:rPr>
              <w:t>available_timeslots</w:t>
            </w:r>
          </w:p>
        </w:tc>
        <w:tc>
          <w:tcPr>
            <w:tcW w:type="dxa" w:w="1392"/>
          </w:tcPr>
          <w:p>
            <w:r>
              <w:rPr>
                <w:b/>
              </w:rPr>
              <w:t>engineering_note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2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3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4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5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6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7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9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10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11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12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13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14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15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16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17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18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19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20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21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22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23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24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</w:tbl>
    <w:p>
      <w:pPr>
        <w:pStyle w:val="Heading1"/>
      </w:pPr>
      <w:r>
        <w:t>A.5 Instrumentación y checklist 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</w:rPr>
              <w:t>rbw_hz</w:t>
            </w:r>
          </w:p>
        </w:tc>
        <w:tc>
          <w:tcPr>
            <w:tcW w:type="dxa" w:w="1624"/>
          </w:tcPr>
          <w:p>
            <w:r>
              <w:rPr>
                <w:b/>
              </w:rPr>
              <w:t>rbw_khz</w:t>
            </w:r>
          </w:p>
        </w:tc>
        <w:tc>
          <w:tcPr>
            <w:tcW w:type="dxa" w:w="1624"/>
          </w:tcPr>
          <w:p>
            <w:r>
              <w:rPr>
                <w:b/>
              </w:rPr>
              <w:t>noise_figure_db</w:t>
            </w:r>
          </w:p>
        </w:tc>
        <w:tc>
          <w:tcPr>
            <w:tcW w:type="dxa" w:w="1624"/>
          </w:tcPr>
          <w:p>
            <w:r>
              <w:rPr>
                <w:b/>
              </w:rPr>
              <w:t>noise_floor_dbm</w:t>
            </w:r>
          </w:p>
        </w:tc>
        <w:tc>
          <w:tcPr>
            <w:tcW w:type="dxa" w:w="1624"/>
          </w:tcPr>
          <w:p>
            <w:r>
              <w:rPr>
                <w:b/>
              </w:rPr>
              <w:t>delta_vs_100khz_db</w:t>
            </w:r>
          </w:p>
        </w:tc>
        <w:tc>
          <w:tcPr>
            <w:tcW w:type="dxa" w:w="1624"/>
          </w:tcPr>
          <w:p>
            <w:r>
              <w:rPr>
                <w:b/>
              </w:rPr>
              <w:t>measurement_interpretation</w:t>
            </w:r>
          </w:p>
        </w:tc>
      </w:tr>
      <w:tr>
        <w:tc>
          <w:tcPr>
            <w:tcW w:type="dxa" w:w="1624"/>
          </w:tcPr>
          <w:p>
            <w:r>
              <w:t>100000</w:t>
            </w:r>
          </w:p>
        </w:tc>
        <w:tc>
          <w:tcPr>
            <w:tcW w:type="dxa" w:w="1624"/>
          </w:tcPr>
          <w:p>
            <w:r>
              <w:t>100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-118</w:t>
            </w:r>
          </w:p>
        </w:tc>
        <w:tc>
          <w:tcPr>
            <w:tcW w:type="dxa" w:w="1624"/>
          </w:tcPr>
          <w:p>
            <w:r>
              <w:t>0</w:t>
            </w:r>
          </w:p>
        </w:tc>
        <w:tc>
          <w:tcPr>
            <w:tcW w:type="dxa" w:w="1624"/>
          </w:tcPr>
          <w:p>
            <w:r>
              <w:t>RBW ancho: medida rápida, más ruido integrado.</w:t>
            </w:r>
          </w:p>
        </w:tc>
      </w:tr>
      <w:tr>
        <w:tc>
          <w:tcPr>
            <w:tcW w:type="dxa" w:w="1624"/>
          </w:tcPr>
          <w:p>
            <w:r>
              <w:t>10000</w:t>
            </w:r>
          </w:p>
        </w:tc>
        <w:tc>
          <w:tcPr>
            <w:tcW w:type="dxa" w:w="1624"/>
          </w:tcPr>
          <w:p>
            <w:r>
              <w:t>10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-128</w:t>
            </w:r>
          </w:p>
        </w:tc>
        <w:tc>
          <w:tcPr>
            <w:tcW w:type="dxa" w:w="1624"/>
          </w:tcPr>
          <w:p>
            <w:r>
              <w:t>-10</w:t>
            </w:r>
          </w:p>
        </w:tc>
        <w:tc>
          <w:tcPr>
            <w:tcW w:type="dxa" w:w="1624"/>
          </w:tcPr>
          <w:p>
            <w:r>
              <w:t>RBW estrecho: menor ruido integrado, barrido más lento.</w:t>
            </w:r>
          </w:p>
        </w:tc>
      </w:tr>
      <w:tr>
        <w:tc>
          <w:tcPr>
            <w:tcW w:type="dxa" w:w="1624"/>
          </w:tcPr>
          <w:p>
            <w:r>
              <w:t>1000</w:t>
            </w:r>
          </w:p>
        </w:tc>
        <w:tc>
          <w:tcPr>
            <w:tcW w:type="dxa" w:w="1624"/>
          </w:tcPr>
          <w:p>
            <w:r>
              <w:t>1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-138</w:t>
            </w:r>
          </w:p>
        </w:tc>
        <w:tc>
          <w:tcPr>
            <w:tcW w:type="dxa" w:w="1624"/>
          </w:tcPr>
          <w:p>
            <w:r>
              <w:t>-20</w:t>
            </w:r>
          </w:p>
        </w:tc>
        <w:tc>
          <w:tcPr>
            <w:tcW w:type="dxa" w:w="1624"/>
          </w:tcPr>
          <w:p>
            <w:r>
              <w:t>RBW estrecho: menor ruido integrado, barrido más lento.</w:t>
            </w:r>
          </w:p>
        </w:tc>
      </w:tr>
    </w:tbl>
    <w:p>
      <w:pPr>
        <w:pStyle w:val="ListBullet"/>
      </w:pPr>
      <w:r>
        <w:t xml:space="preserve">RBW = 100 kHz: </w:t>
      </w:r>
      <w:r>
        <w:rPr>
          <w:rFonts w:ascii="Courier New" w:hAnsi="Courier New"/>
        </w:rPr>
        <w:t>N = -174 + 10 log10(100000) + 6 = -118 dBm</w:t>
      </w:r>
      <w:r>
        <w:t>.</w:t>
      </w:r>
    </w:p>
    <w:p>
      <w:pPr>
        <w:pStyle w:val="ListBullet"/>
      </w:pPr>
      <w:r>
        <w:t xml:space="preserve">RBW = 10 kHz: </w:t>
      </w:r>
      <w:r>
        <w:rPr>
          <w:rFonts w:ascii="Courier New" w:hAnsi="Courier New"/>
        </w:rPr>
        <w:t>N = -174 + 10 log10(10000) + 6 = -128 dBm</w:t>
      </w:r>
      <w:r>
        <w:t>.</w:t>
      </w:r>
    </w:p>
    <w:p>
      <w:pPr>
        <w:pStyle w:val="ListBullet"/>
      </w:pPr>
      <w:r>
        <w:t xml:space="preserve">RBW = 1 kHz: </w:t>
      </w:r>
      <w:r>
        <w:rPr>
          <w:rFonts w:ascii="Courier New" w:hAnsi="Courier New"/>
        </w:rPr>
        <w:t>N = -174 + 10 log10(1000) + 6 = -138 dBm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student_task</w:t>
            </w:r>
          </w:p>
        </w:tc>
      </w:tr>
      <w:tr>
        <w:tc>
          <w:tcPr>
            <w:tcW w:type="dxa" w:w="3249"/>
          </w:tcPr>
          <w:p>
            <w:r>
              <w:t>Uso eficiente del espectro</w:t>
            </w:r>
          </w:p>
        </w:tc>
        <w:tc>
          <w:tcPr>
            <w:tcW w:type="dxa" w:w="3249"/>
          </w:tcPr>
          <w:p>
            <w:r>
              <w:t>planificación ARFCN, clúster N=4, distancia de reutilización y control de co-canal</w:t>
            </w:r>
          </w:p>
        </w:tc>
        <w:tc>
          <w:tcPr>
            <w:tcW w:type="dxa" w:w="3249"/>
          </w:tcPr>
          <w:p>
            <w:r>
              <w:t>Justificar que la asignación espectral reduce interferencias y evita solapamientos.</w:t>
            </w:r>
          </w:p>
        </w:tc>
      </w:tr>
      <w:tr>
        <w:tc>
          <w:tcPr>
            <w:tcW w:type="dxa" w:w="3249"/>
          </w:tcPr>
          <w:p>
            <w:r>
              <w:t>Emisiones no deseadas</w:t>
            </w:r>
          </w:p>
        </w:tc>
        <w:tc>
          <w:tcPr>
            <w:tcW w:type="dxa" w:w="3249"/>
          </w:tcPr>
          <w:p>
            <w:r>
              <w:t>medida con analizador de espectro y ajuste de RBW</w:t>
            </w:r>
          </w:p>
        </w:tc>
        <w:tc>
          <w:tcPr>
            <w:tcW w:type="dxa" w:w="3249"/>
          </w:tcPr>
          <w:p>
            <w:r>
              <w:t>Explicar cómo se distinguirían señales débiles de ruido instrumental.</w:t>
            </w:r>
          </w:p>
        </w:tc>
      </w:tr>
      <w:tr>
        <w:tc>
          <w:tcPr>
            <w:tcW w:type="dxa" w:w="3249"/>
          </w:tcPr>
          <w:p>
            <w:r>
              <w:t>Estabilidad de canal</w:t>
            </w:r>
          </w:p>
        </w:tc>
        <w:tc>
          <w:tcPr>
            <w:tcW w:type="dxa" w:w="3249"/>
          </w:tcPr>
          <w:p>
            <w:r>
              <w:t>Doppler, tiempo de coherencia y comparación con timeslot GSM</w:t>
            </w:r>
          </w:p>
        </w:tc>
        <w:tc>
          <w:tcPr>
            <w:tcW w:type="dxa" w:w="3249"/>
          </w:tcPr>
          <w:p>
            <w:r>
              <w:t>Defender si el enlace es viable durante la ráfaga en movilidad.</w:t>
            </w:r>
          </w:p>
        </w:tc>
      </w:tr>
      <w:tr>
        <w:tc>
          <w:tcPr>
            <w:tcW w:type="dxa" w:w="3249"/>
          </w:tcPr>
          <w:p>
            <w:r>
              <w:t>Documentación técnica</w:t>
            </w:r>
          </w:p>
        </w:tc>
        <w:tc>
          <w:tcPr>
            <w:tcW w:type="dxa" w:w="3249"/>
          </w:tcPr>
          <w:p>
            <w:r>
              <w:t>tablas, gráficas, hipótesis y trazabilidad de cálculos</w:t>
            </w:r>
          </w:p>
        </w:tc>
        <w:tc>
          <w:tcPr>
            <w:tcW w:type="dxa" w:w="3249"/>
          </w:tcPr>
          <w:p>
            <w:r>
              <w:t>Incluir ecuaciones, unidades y discusión ingenieril.</w:t>
            </w:r>
          </w:p>
        </w:tc>
      </w:tr>
    </w:tbl>
    <w:p>
      <w:pPr>
        <w:pStyle w:val="Heading1"/>
      </w:pPr>
      <w:r>
        <w:t>A.6 Artefactos generados</w:t>
      </w:r>
    </w:p>
    <w:p>
      <w:pPr>
        <w:pStyle w:val="ListBullet"/>
      </w:pPr>
      <w:r>
        <w:rPr>
          <w:rFonts w:ascii="Courier New" w:hAnsi="Courier New"/>
        </w:rPr>
        <w:t>outputs/escenario_a_movilidad.csv</w:t>
      </w:r>
      <w:r>
        <w:t xml:space="preserve"> y </w:t>
      </w:r>
      <w:r>
        <w:rPr>
          <w:rFonts w:ascii="Courier New" w:hAnsi="Courier New"/>
        </w:rPr>
        <w:t>outputs/escenario_a_fading_metricas.csv</w:t>
      </w:r>
      <w:r>
        <w:t>.</w:t>
      </w:r>
    </w:p>
    <w:p>
      <w:pPr>
        <w:pStyle w:val="ListBullet"/>
      </w:pPr>
      <w:r>
        <w:rPr>
          <w:rFonts w:ascii="Courier New" w:hAnsi="Courier New"/>
        </w:rPr>
        <w:t>outputs/escenario_b_planificacion.csv</w:t>
      </w:r>
      <w:r>
        <w:t xml:space="preserve"> y </w:t>
      </w:r>
      <w:r>
        <w:rPr>
          <w:rFonts w:ascii="Courier New" w:hAnsi="Courier New"/>
        </w:rPr>
        <w:t>outputs/escenario_b_canales_logicos.csv</w:t>
      </w:r>
      <w:r>
        <w:t>.</w:t>
      </w:r>
    </w:p>
    <w:p>
      <w:pPr>
        <w:pStyle w:val="ListBullet"/>
      </w:pPr>
      <w:r>
        <w:rPr>
          <w:rFonts w:ascii="Courier New" w:hAnsi="Courier New"/>
        </w:rPr>
        <w:t>outputs/certificacion_rbw.csv</w:t>
      </w:r>
      <w:r>
        <w:t xml:space="preserve"> y </w:t>
      </w:r>
      <w:r>
        <w:rPr>
          <w:rFonts w:ascii="Courier New" w:hAnsi="Courier New"/>
        </w:rPr>
        <w:t>outputs/certificacion_red_checklist.csv</w:t>
      </w:r>
      <w:r>
        <w:t>.</w:t>
      </w:r>
    </w:p>
    <w:p>
      <w:pPr>
        <w:pStyle w:val="ListBullet"/>
      </w:pPr>
      <w:r>
        <w:t xml:space="preserve">Trazas </w:t>
      </w:r>
      <w:r>
        <w:rPr>
          <w:rFonts w:ascii="Courier New" w:hAnsi="Courier New"/>
        </w:rPr>
        <w:t>outputs/traza_*.csv</w:t>
      </w:r>
      <w:r>
        <w:t xml:space="preserve"> y figuras PNG en </w:t>
      </w:r>
      <w:r>
        <w:rPr>
          <w:rFonts w:ascii="Courier New" w:hAnsi="Courier New"/>
        </w:rPr>
        <w:t>outputs/figures/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