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PLANTILLA DE ENTREGA ACADÉMICA</w:t>
      </w:r>
    </w:p>
    <w:p/>
    <w:p/>
    <w:p>
      <w:pPr>
        <w:jc w:val="center"/>
      </w:pPr>
      <w:r>
        <w:rPr>
          <w:rFonts w:ascii="Arial" w:hAnsi="Arial"/>
          <w:b/>
          <w:sz w:val="44"/>
        </w:rPr>
        <w:t>Guion breve de defensa</w:t>
      </w:r>
    </w:p>
    <w:p>
      <w:pPr>
        <w:jc w:val="center"/>
      </w:pPr>
      <w:r>
        <w:rPr>
          <w:rFonts w:ascii="Arial" w:hAnsi="Arial"/>
          <w:i/>
          <w:sz w:val="22"/>
        </w:rPr>
        <w:t>Protocolo Titán — Guion de defensa</w:t>
      </w:r>
    </w:p>
    <w:p>
      <w:pPr>
        <w:jc w:val="center"/>
      </w:pPr>
      <w:r>
        <w:rPr>
          <w:rFonts w:ascii="Arial" w:hAnsi="Arial"/>
          <w:sz w:val="20"/>
        </w:rPr>
        <w:t>Análisis técnico de una red GSM/EDGE táctica para movilidad extrema, planificación espectral y certificación instrumental.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Centro / Universidad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Asignatura / Módulo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Titulación / Grupo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Autor / Equipo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Docente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Fecha de entrega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14/05/2026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Versión del documento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v1.0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2"/>
        </w:rPr>
        <w:t>Datos de entrega y revisión final</w:t>
      </w:r>
    </w:p>
    <w:p>
      <w:pPr>
        <w:pStyle w:val="ListBullet"/>
      </w:pPr>
      <w:r>
        <w:rPr>
          <w:rFonts w:ascii="Arial" w:hAnsi="Arial"/>
        </w:rPr>
        <w:t>Revisar portada, índice, numeración y formato de referencias antes de exportar la versión final.</w:t>
      </w:r>
    </w:p>
    <w:p>
      <w:pPr>
        <w:pStyle w:val="ListBullet"/>
      </w:pPr>
      <w:r>
        <w:rPr>
          <w:rFonts w:ascii="Arial" w:hAnsi="Arial"/>
        </w:rPr>
        <w:t>Verificar que las figuras insertadas mantengan legibilidad en PDF y en impresión.</w:t>
      </w:r>
    </w:p>
    <w:p>
      <w:pPr>
        <w:pStyle w:val="ListBullet"/>
      </w:pPr>
      <w:r>
        <w:rPr>
          <w:rFonts w:ascii="Arial" w:hAnsi="Arial"/>
        </w:rPr>
        <w:t>Sustituir los campos [Completar] por los datos reales del grupo o del estudiante.</w:t>
      </w:r>
    </w:p>
    <w:p>
      <w:r>
        <w:br w:type="page"/>
      </w:r>
    </w:p>
    <w:p>
      <w:pPr>
        <w:pStyle w:val="Heading1"/>
      </w:pPr>
      <w:r>
        <w:t>Diapositiva 1 — Misión y objetivo</w:t>
      </w:r>
    </w:p>
    <w:p>
      <w:pPr>
        <w:pStyle w:val="ListBullet"/>
      </w:pPr>
      <w:r>
        <w:t>Problema: desplegar una red GSM/EDGE táctica para movilidad extrema y alta densidad operativa.</w:t>
      </w:r>
    </w:p>
    <w:p>
      <w:pPr>
        <w:pStyle w:val="ListBullet"/>
      </w:pPr>
      <w:r>
        <w:t>Objetivo: demostrar viabilidad técnica con cálculos reproducibles y criterio profesional.</w:t>
      </w:r>
    </w:p>
    <w:p>
      <w:pPr>
        <w:pStyle w:val="Heading1"/>
      </w:pPr>
      <w:r>
        <w:t>Diapositiva 2 — Marco teórico esencial</w:t>
      </w:r>
    </w:p>
    <w:p>
      <w:pPr>
        <w:pStyle w:val="ListBullet"/>
      </w:pPr>
      <w:r>
        <w:t>FDMA de 200 kHz y TDMA de 8 timeslots por trama.</w:t>
      </w:r>
    </w:p>
    <w:p>
      <w:pPr>
        <w:pStyle w:val="ListBullet"/>
      </w:pPr>
      <w:r>
        <w:t>Diferencia entre canales físicos y lógicos, con foco en BCCH y TCH.</w:t>
      </w:r>
    </w:p>
    <w:p>
      <w:pPr>
        <w:pStyle w:val="ListBullet"/>
      </w:pPr>
      <w:r>
        <w:t>Fading Rayleigh/Rician y criterio RED de conformidad espectral.</w:t>
      </w:r>
    </w:p>
    <w:p>
      <w:pPr>
        <w:pStyle w:val="Heading1"/>
      </w:pPr>
      <w:r>
        <w:t>Diapositiva 3 — Escenario A</w:t>
      </w:r>
    </w:p>
    <w:p>
      <w:pPr>
        <w:pStyle w:val="ListBullet"/>
      </w:pPr>
      <w:r>
        <w:t>Peor caso estudiado: 250 km/h con clase de estabilidad estable_con_margen_reducido.</w:t>
      </w:r>
    </w:p>
    <w:p>
      <w:pPr>
        <w:pStyle w:val="ListBullet"/>
      </w:pPr>
      <w:r>
        <w:t>Mensaje clave: la movilidad reduce el tiempo de coherencia, pero no invalida el enlace intra-ráfaga con los parámetros base.</w:t>
      </w:r>
    </w:p>
    <w:p>
      <w:pPr>
        <w:pStyle w:val="Heading1"/>
      </w:pPr>
      <w:r>
        <w:t>Diapositiva 4 — Escenario B</w:t>
      </w:r>
    </w:p>
    <w:p>
      <w:pPr>
        <w:pStyle w:val="ListBullet"/>
      </w:pPr>
      <w:r>
        <w:t>Clúster N=4 y distancia de reutilización de 5.1962 km.</w:t>
      </w:r>
    </w:p>
    <w:p>
      <w:pPr>
        <w:pStyle w:val="ListBullet"/>
      </w:pPr>
      <w:r>
        <w:t>Mensaje clave: la disciplina espectral protege frente a co-canal sin sacrificar totalmente la capacidad táctica.</w:t>
      </w:r>
    </w:p>
    <w:p>
      <w:pPr>
        <w:pStyle w:val="Heading1"/>
      </w:pPr>
      <w:r>
        <w:t>Diapositiva 5 — Instrumentación</w:t>
      </w:r>
    </w:p>
    <w:p>
      <w:pPr>
        <w:pStyle w:val="ListBullet"/>
      </w:pPr>
      <w:r>
        <w:t>Mejor suelo de ruido mostrado: -138 dBm con la RBW más estrecha.</w:t>
      </w:r>
    </w:p>
    <w:p>
      <w:pPr>
        <w:pStyle w:val="ListBullet"/>
      </w:pPr>
      <w:r>
        <w:t>Mensaje clave: una RBW menor reduce ruido integrado, pero alarga la medida.</w:t>
      </w:r>
    </w:p>
    <w:p>
      <w:pPr>
        <w:pStyle w:val="Heading1"/>
      </w:pPr>
      <w:r>
        <w:t>Diapositiva 6 — Conclusión final</w:t>
      </w:r>
    </w:p>
    <w:p>
      <w:pPr>
        <w:pStyle w:val="ListBullet"/>
      </w:pPr>
      <w:r>
        <w:t>El proyecto conecta teoría, cálculo y criterio de despliegue.</w:t>
      </w:r>
    </w:p>
    <w:p>
      <w:pPr>
        <w:pStyle w:val="ListBullet"/>
      </w:pPr>
      <w:r>
        <w:t>La propuesta es defendible para misión crítica si se mantiene diseño conservador, planificación ordenada y validación instrumental rigurosa.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