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6"/>
        </w:rPr>
        <w:t>PLANTILLA DE ENTREGA ACADÉMICA</w:t>
      </w:r>
    </w:p>
    <w:p/>
    <w:p/>
    <w:p>
      <w:pPr>
        <w:jc w:val="center"/>
      </w:pPr>
      <w:r>
        <w:rPr>
          <w:rFonts w:ascii="Arial" w:hAnsi="Arial"/>
          <w:b/>
          <w:sz w:val="44"/>
        </w:rPr>
        <w:t>Protocolo Titán — Informe técnico docente</w:t>
      </w:r>
    </w:p>
    <w:p>
      <w:pPr>
        <w:jc w:val="center"/>
      </w:pPr>
      <w:r>
        <w:rPr>
          <w:rFonts w:ascii="Arial" w:hAnsi="Arial"/>
          <w:i/>
          <w:sz w:val="22"/>
        </w:rPr>
        <w:t>Protocolo Titán — Informe técnico docente</w:t>
      </w:r>
    </w:p>
    <w:p>
      <w:pPr>
        <w:jc w:val="center"/>
      </w:pPr>
      <w:r>
        <w:rPr>
          <w:rFonts w:ascii="Arial" w:hAnsi="Arial"/>
          <w:sz w:val="20"/>
        </w:rPr>
        <w:t>Análisis técnico de una red GSM/EDGE táctica para movilidad extrema, planificación espectral y certificación instrumental.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Centro / Universidad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Asignatura / Módulo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Titulación / Grupo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Autor / Equipo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Docente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[Completar]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Fecha de entrega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14/05/2026</w:t>
            </w:r>
          </w:p>
        </w:tc>
      </w:tr>
      <w:tr>
        <w:tc>
          <w:tcPr>
            <w:tcW w:type="dxa" w:w="4873"/>
          </w:tcPr>
          <w:p>
            <w:r>
              <w:rPr>
                <w:rFonts w:ascii="Arial" w:hAnsi="Arial"/>
                <w:b/>
              </w:rPr>
              <w:t>Versión del documento</w:t>
            </w:r>
          </w:p>
        </w:tc>
        <w:tc>
          <w:tcPr>
            <w:tcW w:type="dxa" w:w="4873"/>
          </w:tcPr>
          <w:p>
            <w:r>
              <w:rPr>
                <w:rFonts w:ascii="Arial" w:hAnsi="Arial"/>
              </w:rPr>
              <w:t>v1.0</w:t>
            </w:r>
          </w:p>
        </w:tc>
      </w:tr>
    </w:tbl>
    <w:p/>
    <w:p>
      <w:pPr>
        <w:jc w:val="left"/>
      </w:pPr>
      <w:r>
        <w:rPr>
          <w:rFonts w:ascii="Arial" w:hAnsi="Arial"/>
          <w:b/>
          <w:sz w:val="22"/>
        </w:rPr>
        <w:t>Datos de entrega y revisión final</w:t>
      </w:r>
    </w:p>
    <w:p>
      <w:pPr>
        <w:pStyle w:val="ListBullet"/>
      </w:pPr>
      <w:r>
        <w:rPr>
          <w:rFonts w:ascii="Arial" w:hAnsi="Arial"/>
        </w:rPr>
        <w:t>Revisar portada, índice, numeración y formato de referencias antes de exportar la versión final.</w:t>
      </w:r>
    </w:p>
    <w:p>
      <w:pPr>
        <w:pStyle w:val="ListBullet"/>
      </w:pPr>
      <w:r>
        <w:rPr>
          <w:rFonts w:ascii="Arial" w:hAnsi="Arial"/>
        </w:rPr>
        <w:t>Verificar que las figuras insertadas mantengan legibilidad en PDF y en impresión.</w:t>
      </w:r>
    </w:p>
    <w:p>
      <w:pPr>
        <w:pStyle w:val="ListBullet"/>
      </w:pPr>
      <w:r>
        <w:rPr>
          <w:rFonts w:ascii="Arial" w:hAnsi="Arial"/>
        </w:rPr>
        <w:t>Sustituir los campos [Completar] por los datos reales del grupo o del estudiante.</w:t>
      </w:r>
    </w:p>
    <w:p>
      <w:r>
        <w:br w:type="page"/>
      </w:r>
    </w:p>
    <w:p>
      <w:pPr>
        <w:pStyle w:val="Heading1"/>
      </w:pPr>
      <w:r>
        <w:t>Resumen</w:t>
      </w:r>
    </w:p>
    <w:p>
      <w:r>
        <w:t>Este informe evalúa la viabilidad de una red GSM/EDGE táctica en dos contextos de misión crítica: movilidad extrema en un convoy ferroviario y alta densidad operativa en un campamento base. Se parte de una red GSM-900 con portadoras de 200 kHz, un timeslot de 577 µs, velocidades de estudio 50 km/h, 250 km/h y un plan celular con 24 ARFCNs distribuidos en un clúster N=4. Los resultados muestran que el escenario A está dominado por la variación temporal del canal, mientras que el escenario B queda condicionado por la reutilización espectral, la protección co-canal y el criterio instrumental de medida.</w:t>
      </w:r>
    </w:p>
    <w:p>
      <w:pPr>
        <w:pStyle w:val="Heading1"/>
      </w:pPr>
      <w:r>
        <w:t>1. Introducción</w:t>
      </w:r>
    </w:p>
    <w:p>
      <w:r>
        <w:t>El reto Protocolo Titán plantea el diseño de una red táctica de alta fiabilidad basada en GSM/EDGE. Aunque se trata de una arquitectura histórica, sigue siendo útil como referencia docente porque combina robustez, interoperabilidad, sencillez de despliegue y una estructura radio bien documentada [1], [2]. Desde la perspectiva de misión crítica, la red debe soportar coordinación de voz, control de equipos, telemetría de baja tasa y decisiones de ingeniería que preserven tanto la disponibilidad del enlace como el uso disciplinado del espectro.</w:t>
      </w:r>
    </w:p>
    <w:p>
      <w:pPr>
        <w:pStyle w:val="Heading2"/>
      </w:pPr>
      <w:r>
        <w:t>1.1 Objetivo general</w:t>
      </w:r>
    </w:p>
    <w:p>
      <w:r>
        <w:t>Demostrar, con cálculos reproducibles y criterio ingenieril, la viabilidad de una red GSM/EDGE táctica en un escenario de alta movilidad y en un entorno de alta densidad operativa.</w:t>
      </w:r>
    </w:p>
    <w:p>
      <w:pPr>
        <w:pStyle w:val="Heading2"/>
      </w:pPr>
      <w:r>
        <w:t>1.2 Objetivos específicos</w:t>
      </w:r>
    </w:p>
    <w:p>
      <w:pPr>
        <w:pStyle w:val="ListBullet"/>
      </w:pPr>
      <w:r>
        <w:t>Cuantificar el efecto Doppler y el tiempo de coherencia para velocidades tácticas representativas.</w:t>
      </w:r>
    </w:p>
    <w:p>
      <w:pPr>
        <w:pStyle w:val="ListBullet"/>
      </w:pPr>
      <w:r>
        <w:t>Determinar si el canal puede considerarse aproximadamente estable durante un timeslot GSM.</w:t>
      </w:r>
    </w:p>
    <w:p>
      <w:pPr>
        <w:pStyle w:val="ListBullet"/>
      </w:pPr>
      <w:r>
        <w:t>Diseñar una planificación básica de frecuencias con 24 ARFCNs y clúster N=4.</w:t>
      </w:r>
    </w:p>
    <w:p>
      <w:pPr>
        <w:pStyle w:val="ListBullet"/>
      </w:pPr>
      <w:r>
        <w:t>Justificar el papel de BCCH, TCH y la política de potencia/hopping en el reparto de canales.</w:t>
      </w:r>
    </w:p>
    <w:p>
      <w:pPr>
        <w:pStyle w:val="ListBullet"/>
      </w:pPr>
      <w:r>
        <w:t>Analizar cómo cambia el suelo de ruido instrumental al modificar la RBW del analizador.</w:t>
      </w:r>
    </w:p>
    <w:p>
      <w:pPr>
        <w:pStyle w:val="ListBullet"/>
      </w:pPr>
      <w:r>
        <w:t>Integrar movilidad, reutilización y certificación RED en una propuesta coherente de despliegue.</w:t>
      </w:r>
    </w:p>
    <w:p>
      <w:pPr>
        <w:pStyle w:val="Heading1"/>
      </w:pPr>
      <w:r>
        <w:t>2. Estado del arte</w:t>
      </w:r>
    </w:p>
    <w:p>
      <w:pPr>
        <w:pStyle w:val="Heading2"/>
      </w:pPr>
      <w:r>
        <w:t>2.1 Acceso múltiple en GSM/EDGE</w:t>
      </w:r>
    </w:p>
    <w:p>
      <w:r>
        <w:t>GSM organiza el acceso radio mediante FDMA y TDMA. En frecuencia, el espectro se divide en portadoras de 200 kHz; en tiempo, cada portadora se reparte en 8 timeslots por trama, con un timeslot base de 577 µs [1], [2].</w:t>
      </w:r>
    </w:p>
    <w:p>
      <w:pPr>
        <w:pStyle w:val="Heading2"/>
      </w:pPr>
      <w:r>
        <w:t>2.2 Canales físicos y canales lógicos</w:t>
      </w:r>
    </w:p>
    <w:p>
      <w:r>
        <w:t>Un canal físico es la combinación portadora-timeslot. Sobre él se multiplexan canales lógicos con finalidades distintas: BCCH para difusión y camping, TCH para tráfico y otros canales de control para señalización, acceso y sincronización. En consecuencia, la capacidad útil de usuario nunca debe interpretarse como una mera cuenta bruta de timeslots.</w:t>
      </w:r>
    </w:p>
    <w:p>
      <w:pPr>
        <w:pStyle w:val="Heading2"/>
      </w:pPr>
      <w:r>
        <w:t>2.3 Fading, multitrayecto y movilidad</w:t>
      </w:r>
    </w:p>
    <w:p>
      <w:r>
        <w:t>El fading por multitrayecto aparece cuando varias réplicas temporales de la señal interfieren constructiva o destructivamente. Un entorno sin línea de vista dominante suele aproximarse por Rayleigh, mientras que la presencia de una componente fuerte LOS conduce a un comportamiento Rician [3], [4]. Cuando el ancho de banda de la señal es pequeño frente al ancho de banda de coherencia, el canal puede modelarse como fading plano; si no, aparecen efectos selectivos en frecuencia. En este reto se usa una simulación docente de fading plano para estudiar la estabilidad intra-ráfaga.</w:t>
      </w:r>
    </w:p>
    <w:p>
      <w:pPr>
        <w:pStyle w:val="Heading2"/>
      </w:pPr>
      <w:r>
        <w:t>2.4 Certificación radioeléctrica y Directiva RED</w:t>
      </w:r>
    </w:p>
    <w:p>
      <w:r>
        <w:t>El despliegue radio no se limita a la capacidad de servicio: también exige control de emisiones no deseadas, uso eficiente del espectro y trazabilidad de medidas. La Directiva RED aporta el marco regulatorio de conformidad, mientras que el analizador de espectro y el ajuste de RBW permiten distinguir señales débiles de ruido instrumental [5].</w:t>
      </w:r>
    </w:p>
    <w:p>
      <w:pPr>
        <w:pStyle w:val="Heading1"/>
      </w:pPr>
      <w:r>
        <w:t>3. Metodología</w:t>
      </w:r>
    </w:p>
    <w:p>
      <w:pPr>
        <w:pStyle w:val="Heading2"/>
      </w:pPr>
      <w:r>
        <w:t>3.1 Hipótesis de partida</w:t>
      </w:r>
    </w:p>
    <w:p>
      <w:pPr>
        <w:pStyle w:val="ListBullet"/>
      </w:pPr>
      <w:r>
        <w:t>Banda de operación: GSM-900 con frecuencia central aproximada de 900 MHz.</w:t>
      </w:r>
    </w:p>
    <w:p>
      <w:pPr>
        <w:pStyle w:val="ListBullet"/>
      </w:pPr>
      <w:r>
        <w:t>Acceso radio: portadoras de 200 kHz y 8 timeslots por trama.</w:t>
      </w:r>
    </w:p>
    <w:p>
      <w:pPr>
        <w:pStyle w:val="ListBullet"/>
      </w:pPr>
      <w:r>
        <w:t>Timeslot analizado: 577 µs.</w:t>
      </w:r>
    </w:p>
    <w:p>
      <w:pPr>
        <w:pStyle w:val="ListBullet"/>
      </w:pPr>
      <w:r>
        <w:t xml:space="preserve">Velocidad de propagación: </w:t>
      </w:r>
      <w:r>
        <w:rPr>
          <w:rFonts w:ascii="Courier New" w:hAnsi="Courier New"/>
        </w:rPr>
        <w:t>3 × 10^8 m/s</w:t>
      </w:r>
      <w:r>
        <w:t>.</w:t>
      </w:r>
    </w:p>
    <w:p>
      <w:pPr>
        <w:pStyle w:val="ListBullet"/>
      </w:pPr>
      <w:r>
        <w:t>Figura de ruido del analizador: 6 dB.</w:t>
      </w:r>
    </w:p>
    <w:p>
      <w:pPr>
        <w:pStyle w:val="Heading2"/>
      </w:pPr>
      <w:r>
        <w:t>3.2 Ecuaciones empleadas</w:t>
      </w:r>
    </w:p>
    <w:p>
      <w:pPr>
        <w:pStyle w:val="ListBullet"/>
      </w:pPr>
      <w:r>
        <w:t xml:space="preserve">Conversión de velocidad: </w:t>
      </w:r>
      <w:r>
        <w:rPr>
          <w:rFonts w:ascii="Courier New" w:hAnsi="Courier New"/>
        </w:rPr>
        <w:t>v(m/s) = v(km/h) / 3.6</w:t>
      </w:r>
      <w:r>
        <w:t>.</w:t>
      </w:r>
    </w:p>
    <w:p>
      <w:pPr>
        <w:pStyle w:val="ListBullet"/>
      </w:pPr>
      <w:r>
        <w:t xml:space="preserve">Doppler máximo: </w:t>
      </w:r>
      <w:r>
        <w:rPr>
          <w:rFonts w:ascii="Courier New" w:hAnsi="Courier New"/>
        </w:rPr>
        <w:t>f_d = v · f_c / c</w:t>
      </w:r>
      <w:r>
        <w:t>.</w:t>
      </w:r>
    </w:p>
    <w:p>
      <w:pPr>
        <w:pStyle w:val="ListBullet"/>
      </w:pPr>
      <w:r>
        <w:t xml:space="preserve">Tiempo de coherencia: </w:t>
      </w:r>
      <w:r>
        <w:rPr>
          <w:rFonts w:ascii="Courier New" w:hAnsi="Courier New"/>
        </w:rPr>
        <w:t>T_c ≈ 0.423 / f_d</w:t>
      </w:r>
      <w:r>
        <w:t>.</w:t>
      </w:r>
    </w:p>
    <w:p>
      <w:pPr>
        <w:pStyle w:val="ListBullet"/>
      </w:pPr>
      <w:r>
        <w:t xml:space="preserve">Reutilización celular: </w:t>
      </w:r>
      <w:r>
        <w:rPr>
          <w:rFonts w:ascii="Courier New" w:hAnsi="Courier New"/>
        </w:rPr>
        <w:t>D/R = √(3N)</w:t>
      </w:r>
      <w:r>
        <w:t xml:space="preserve"> y </w:t>
      </w:r>
      <w:r>
        <w:rPr>
          <w:rFonts w:ascii="Courier New" w:hAnsi="Courier New"/>
        </w:rPr>
        <w:t>D = R · √(3N)</w:t>
      </w:r>
      <w:r>
        <w:t>.</w:t>
      </w:r>
    </w:p>
    <w:p>
      <w:pPr>
        <w:pStyle w:val="ListBullet"/>
      </w:pPr>
      <w:r>
        <w:t xml:space="preserve">Suelo de ruido instrumental: </w:t>
      </w:r>
      <w:r>
        <w:rPr>
          <w:rFonts w:ascii="Courier New" w:hAnsi="Courier New"/>
        </w:rPr>
        <w:t>N(dBm) = -174 + 10 log10(RBW) + NF</w:t>
      </w:r>
      <w:r>
        <w:t>.</w:t>
      </w:r>
    </w:p>
    <w:p>
      <w:pPr>
        <w:pStyle w:val="Heading2"/>
      </w:pPr>
      <w:r>
        <w:t>3.3 Flujo reproducible</w:t>
      </w:r>
    </w:p>
    <w:p>
      <w:pPr>
        <w:pStyle w:val="ListNumber"/>
      </w:pPr>
      <w:r>
        <w:t>Convertir velocidades de km/h a m/s y calcular Doppler máximo.</w:t>
      </w:r>
    </w:p>
    <w:p>
      <w:pPr>
        <w:pStyle w:val="ListNumber"/>
      </w:pPr>
      <w:r>
        <w:t>Obtener el tiempo de coherencia y compararlo con el timeslot GSM.</w:t>
      </w:r>
    </w:p>
    <w:p>
      <w:pPr>
        <w:pStyle w:val="ListNumber"/>
      </w:pPr>
      <w:r>
        <w:t>Simular fading plano Rayleigh y Rician para visualizar variación de envolvente.</w:t>
      </w:r>
    </w:p>
    <w:p>
      <w:pPr>
        <w:pStyle w:val="ListNumber"/>
      </w:pPr>
      <w:r>
        <w:t>Repartir 24 portadoras entre las celdas del clúster y calcular la distancia de reutilización.</w:t>
      </w:r>
    </w:p>
    <w:p>
      <w:pPr>
        <w:pStyle w:val="ListNumber"/>
      </w:pPr>
      <w:r>
        <w:t>Evaluar el impacto de la RBW del analizador sobre el ruido integrado.</w:t>
      </w:r>
    </w:p>
    <w:p>
      <w:pPr>
        <w:pStyle w:val="ListNumber"/>
      </w:pPr>
      <w:r>
        <w:t>Integrar resultados en una discusión común orientada a decisiones de despliegue.</w:t>
      </w:r>
    </w:p>
    <w:p>
      <w:pPr>
        <w:pStyle w:val="Heading1"/>
      </w:pPr>
      <w:r>
        <w:t>4. Escenarios de estudio</w:t>
      </w:r>
    </w:p>
    <w:p>
      <w:pPr>
        <w:pStyle w:val="Heading2"/>
      </w:pPr>
      <w:r>
        <w:t>4.1 Escenario A — Convoy de alta velocidad</w:t>
      </w:r>
    </w:p>
    <w:p>
      <w:r>
        <w:t>Se estudia un despliegue lineal en un valle operativo con radio de celda 3 km y velocidades 50 km/h, 250 km/h. Aquí domina la movilidad extrema: el problema principal no es la cantidad de portadoras disponibles, sino la rapidez con la que cambia el canal radio dentro de una ráfaga GSM.</w:t>
      </w:r>
    </w:p>
    <w:p>
      <w:pPr>
        <w:pStyle w:val="Heading2"/>
      </w:pPr>
      <w:r>
        <w:t>4.2 Escenario B — Campamento base y certificación</w:t>
      </w:r>
    </w:p>
    <w:p>
      <w:r>
        <w:t>Se analiza un campamento base con radio de celda 1.5 km, 24 portadoras disponibles y clúster N=4. En este contexto dominan la planificación espectral, la interferencia co-canal y la verificación instrumental de emisiones.</w:t>
      </w:r>
    </w:p>
    <w:p>
      <w:r>
        <w:t>Mini conclusión parcial: los dos escenarios son complementarios. El primero exige analizar estabilidad temporal del canal; el segundo exige disciplina de espectro y criterio de certificación.</w:t>
      </w:r>
    </w:p>
    <w:p>
      <w:pPr>
        <w:pStyle w:val="Heading1"/>
      </w:pPr>
      <w:r>
        <w:t>5. Pruebas, cálculos y simulaciones</w:t>
      </w:r>
    </w:p>
    <w:p>
      <w:pPr>
        <w:pStyle w:val="Heading2"/>
      </w:pPr>
      <w:r>
        <w:t>5.1 Prueba 1 — Movilidad y fading</w:t>
      </w:r>
    </w:p>
    <w:p>
      <w:pPr>
        <w:pStyle w:val="Heading3"/>
      </w:pPr>
      <w:r>
        <w:t>Caso 50 km/h</w:t>
      </w:r>
    </w:p>
    <w:p>
      <w:pPr>
        <w:pStyle w:val="ListNumber"/>
      </w:pPr>
      <w:r>
        <w:t xml:space="preserve">Conversión de velocidad: </w:t>
      </w:r>
      <w:r>
        <w:rPr>
          <w:rFonts w:ascii="Courier New" w:hAnsi="Courier New"/>
        </w:rPr>
        <w:t>v = 50 / 3.6 = 13.8889 m/s</w:t>
      </w:r>
      <w:r>
        <w:t>.</w:t>
      </w:r>
    </w:p>
    <w:p>
      <w:pPr>
        <w:pStyle w:val="ListNumber"/>
      </w:pPr>
      <w:r>
        <w:t xml:space="preserve">Desviación Doppler máxima: </w:t>
      </w:r>
      <w:r>
        <w:rPr>
          <w:rFonts w:ascii="Courier New" w:hAnsi="Courier New"/>
        </w:rPr>
        <w:t>f_d = v · f_c / c = 13.8889 · 900e6 / 3e8 = 41.6667 Hz</w:t>
      </w:r>
      <w:r>
        <w:t>.</w:t>
      </w:r>
    </w:p>
    <w:p>
      <w:pPr>
        <w:pStyle w:val="ListNumber"/>
      </w:pPr>
      <w:r>
        <w:t xml:space="preserve">Tiempo de coherencia: </w:t>
      </w:r>
      <w:r>
        <w:rPr>
          <w:rFonts w:ascii="Courier New" w:hAnsi="Courier New"/>
        </w:rPr>
        <w:t>T_c ≈ 0.423 / f_d = 0.423 / 41.6667 = 0.010152 s = 10.152 ms</w:t>
      </w:r>
      <w:r>
        <w:t>.</w:t>
      </w:r>
    </w:p>
    <w:p>
      <w:pPr>
        <w:pStyle w:val="ListNumber"/>
      </w:pPr>
      <w:r>
        <w:t xml:space="preserve">Comparación con el timeslot GSM: </w:t>
      </w:r>
      <w:r>
        <w:rPr>
          <w:rFonts w:ascii="Courier New" w:hAnsi="Courier New"/>
        </w:rPr>
        <w:t>T_c / T_slot = 10.152 / 0.577 = 17.5945</w:t>
      </w:r>
      <w:r>
        <w:t>.</w:t>
      </w:r>
    </w:p>
    <w:p>
      <w:r>
        <w:t xml:space="preserve">Interpretación: el canal se clasifica como </w:t>
      </w:r>
      <w:r>
        <w:rPr>
          <w:b/>
        </w:rPr>
        <w:t>cuasiestatico</w:t>
      </w:r>
      <w:r>
        <w:t>. Por tanto, la ráfaga puede considerarse cuasiestática o estable dentro del timeslot, pero la robustez del enlace sigue dependiendo de codificación, entrelazado y margen de diseño.</w:t>
      </w:r>
    </w:p>
    <w:p>
      <w:r>
        <w:t>Mini conclusión parcial: la movilidad extrema incrementa el Doppler y reduce el tiempo de coherencia; sin embargo, con los parámetros base el canal sigue siendo manejable dentro de una ráfaga GSM.</w:t>
      </w:r>
    </w:p>
    <w:p>
      <w:pPr>
        <w:pStyle w:val="Heading3"/>
      </w:pPr>
      <w:r>
        <w:t>Caso 250 km/h</w:t>
      </w:r>
    </w:p>
    <w:p>
      <w:pPr>
        <w:pStyle w:val="ListNumber"/>
      </w:pPr>
      <w:r>
        <w:t xml:space="preserve">Conversión de velocidad: </w:t>
      </w:r>
      <w:r>
        <w:rPr>
          <w:rFonts w:ascii="Courier New" w:hAnsi="Courier New"/>
        </w:rPr>
        <w:t>v = 250 / 3.6 = 69.4444 m/s</w:t>
      </w:r>
      <w:r>
        <w:t>.</w:t>
      </w:r>
    </w:p>
    <w:p>
      <w:pPr>
        <w:pStyle w:val="ListNumber"/>
      </w:pPr>
      <w:r>
        <w:t xml:space="preserve">Desviación Doppler máxima: </w:t>
      </w:r>
      <w:r>
        <w:rPr>
          <w:rFonts w:ascii="Courier New" w:hAnsi="Courier New"/>
        </w:rPr>
        <w:t>f_d = v · f_c / c = 69.4444 · 900e6 / 3e8 = 208.3333 Hz</w:t>
      </w:r>
      <w:r>
        <w:t>.</w:t>
      </w:r>
    </w:p>
    <w:p>
      <w:pPr>
        <w:pStyle w:val="ListNumber"/>
      </w:pPr>
      <w:r>
        <w:t xml:space="preserve">Tiempo de coherencia: </w:t>
      </w:r>
      <w:r>
        <w:rPr>
          <w:rFonts w:ascii="Courier New" w:hAnsi="Courier New"/>
        </w:rPr>
        <w:t>T_c ≈ 0.423 / f_d = 0.423 / 208.3333 = 0.00203 s = 2.0304 ms</w:t>
      </w:r>
      <w:r>
        <w:t>.</w:t>
      </w:r>
    </w:p>
    <w:p>
      <w:pPr>
        <w:pStyle w:val="ListNumber"/>
      </w:pPr>
      <w:r>
        <w:t xml:space="preserve">Comparación con el timeslot GSM: </w:t>
      </w:r>
      <w:r>
        <w:rPr>
          <w:rFonts w:ascii="Courier New" w:hAnsi="Courier New"/>
        </w:rPr>
        <w:t>T_c / T_slot = 2.0304 / 0.577 = 3.5189</w:t>
      </w:r>
      <w:r>
        <w:t>.</w:t>
      </w:r>
    </w:p>
    <w:p>
      <w:r>
        <w:t xml:space="preserve">Interpretación: el canal se clasifica como </w:t>
      </w:r>
      <w:r>
        <w:rPr>
          <w:b/>
        </w:rPr>
        <w:t>estable_con_margen_reducido</w:t>
      </w:r>
      <w:r>
        <w:t>. Por tanto, la ráfaga puede considerarse cuasiestática o estable dentro del timeslot, pero la robustez del enlace sigue dependiendo de codificación, entrelazado y margen de diseño.</w:t>
      </w:r>
    </w:p>
    <w:p>
      <w:r>
        <w:t>Mini conclusión parcial: la movilidad extrema incrementa el Doppler y reduce el tiempo de coherencia; sin embargo, con los parámetros base el canal sigue siendo manejable dentro de una ráfaga GSM.</w:t>
      </w:r>
    </w:p>
    <w:p>
      <w:r>
        <w:t>Las métricas de fading exportadas permiten comparar la dispersión relativa de la envolvente en escenarios Rayleigh y Rician. En general, el caso Rician presenta menor variación pico a pico por la presencia de una componente dominante.</w:t>
      </w:r>
    </w:p>
    <w:p>
      <w:pPr>
        <w:pStyle w:val="Heading2"/>
      </w:pPr>
      <w:r>
        <w:t>5.2 Prueba 2 — Planificación de frecuencias</w:t>
      </w:r>
    </w:p>
    <w:p>
      <w:pPr>
        <w:pStyle w:val="ListNumber"/>
      </w:pPr>
      <w:r>
        <w:t xml:space="preserve">Reparto espectral: </w:t>
      </w:r>
      <w:r>
        <w:rPr>
          <w:rFonts w:ascii="Courier New" w:hAnsi="Courier New"/>
        </w:rPr>
        <w:t>24 / 4 = 6</w:t>
      </w:r>
      <w:r>
        <w:t xml:space="preserve"> portadoras por celda.</w:t>
      </w:r>
    </w:p>
    <w:p>
      <w:pPr>
        <w:pStyle w:val="ListNumber"/>
      </w:pPr>
      <w:r>
        <w:t xml:space="preserve">Relación de reutilización: </w:t>
      </w:r>
      <w:r>
        <w:rPr>
          <w:rFonts w:ascii="Courier New" w:hAnsi="Courier New"/>
        </w:rPr>
        <w:t>D/R = √(3N) = √(3 · 4) = 3.4641</w:t>
      </w:r>
      <w:r>
        <w:t>.</w:t>
      </w:r>
    </w:p>
    <w:p>
      <w:pPr>
        <w:pStyle w:val="ListNumber"/>
      </w:pPr>
      <w:r>
        <w:t xml:space="preserve">Distancia de protección: </w:t>
      </w:r>
      <w:r>
        <w:rPr>
          <w:rFonts w:ascii="Courier New" w:hAnsi="Courier New"/>
        </w:rPr>
        <w:t>D = R · √(3N) = 1.5 · 3.4641 = 5.1962 km</w:t>
      </w:r>
      <w:r>
        <w:t>.</w:t>
      </w:r>
    </w:p>
    <w:p>
      <w:pPr>
        <w:pStyle w:val="ListNumber"/>
      </w:pPr>
      <w:r>
        <w:t>Interpretación: la distancia de reutilización actúa como separación geométrica mínima entre celdas co-canal; cuanto mayor es, mayor protección frente a interferencia, pero menor densidad espectral efectiva.</w:t>
      </w:r>
    </w:p>
    <w:p>
      <w:pPr>
        <w:pStyle w:val="ListNumber"/>
      </w:pPr>
      <w:r>
        <w:t>Política BCCH/TCH: BCCH se mantiene estable y a potencia fija para asegurar camping, sincronización y acceso; en cambio, TCH puede beneficiarse de hopping y control de potencia cuando la infraestructura lo soporte.</w:t>
      </w:r>
    </w:p>
    <w:p>
      <w:r>
        <w:t>Mini conclusión parcial: el clúster N=4 introduce un compromiso razonable entre capacidad y protección co-canal para un despliegue táctico con disciplina espectral.</w:t>
      </w:r>
    </w:p>
    <w:p>
      <w:pPr>
        <w:pStyle w:val="Heading2"/>
      </w:pPr>
      <w:r>
        <w:t>5.3 Prueba 3 — Certificación y suelo de ruido</w:t>
      </w:r>
    </w:p>
    <w:p>
      <w:pPr>
        <w:pStyle w:val="ListBullet"/>
      </w:pPr>
      <w:r>
        <w:t xml:space="preserve">RBW = 100 kHz: </w:t>
      </w:r>
      <w:r>
        <w:rPr>
          <w:rFonts w:ascii="Courier New" w:hAnsi="Courier New"/>
        </w:rPr>
        <w:t>N = -174 + 10 log10(100000) + 6 = -118 dBm</w:t>
      </w:r>
      <w:r>
        <w:t>.</w:t>
      </w:r>
    </w:p>
    <w:p>
      <w:pPr>
        <w:pStyle w:val="ListBullet"/>
      </w:pPr>
      <w:r>
        <w:t xml:space="preserve">RBW = 10 kHz: </w:t>
      </w:r>
      <w:r>
        <w:rPr>
          <w:rFonts w:ascii="Courier New" w:hAnsi="Courier New"/>
        </w:rPr>
        <w:t>N = -174 + 10 log10(10000) + 6 = -128 dBm</w:t>
      </w:r>
      <w:r>
        <w:t>.</w:t>
      </w:r>
    </w:p>
    <w:p>
      <w:pPr>
        <w:pStyle w:val="ListBullet"/>
      </w:pPr>
      <w:r>
        <w:t xml:space="preserve">RBW = 1 kHz: </w:t>
      </w:r>
      <w:r>
        <w:rPr>
          <w:rFonts w:ascii="Courier New" w:hAnsi="Courier New"/>
        </w:rPr>
        <w:t>N = -174 + 10 log10(1000) + 6 = -138 dBm</w:t>
      </w:r>
      <w:r>
        <w:t>.</w:t>
      </w:r>
    </w:p>
    <w:p>
      <w:r>
        <w:t>Interpretación: al reducir la RBW disminuye el ruido integrado por el analizador, lo que mejora la visibilidad de señales débiles. Sin embargo, esa mejora no implica que la señal real aumente: simplemente mejora la relación visual señal-ruido en la medida. Compromiso experimental: una RBW muy estrecha reduce el ruido mostrado, pero incrementa el tiempo de barrido y puede ralentizar la validación de conformidad.</w:t>
      </w:r>
    </w:p>
    <w:p>
      <w:r>
        <w:t>Mini conclusión parcial: el analizador debe ajustarse con criterio. Una RBW demasiado ancha oculta señales débiles en el ruido; una demasiado estrecha penaliza el tiempo de medida.</w:t>
      </w:r>
    </w:p>
    <w:p>
      <w:pPr>
        <w:pStyle w:val="Heading2"/>
      </w:pPr>
      <w:r>
        <w:t>5.4 Interpretación integrada</w:t>
      </w:r>
    </w:p>
    <w:p>
      <w:r>
        <w:t>Los resultados no deben leerse como tres bloques independientes. El escenario A demuestra que la estabilidad intra-ráfaga puede mantenerse incluso con movilidad elevada, lo que avala el uso de GSM/EDGE cuando se prioriza robustez y simplicidad. El escenario B muestra que esa robustez solo es útil si la planificación de frecuencias, el reparto BCCH/TCH y el criterio instrumental preservan el servicio frente a interferencia y falsas interpretaciones de laboratorio.</w:t>
      </w:r>
    </w:p>
    <w:p>
      <w:pPr>
        <w:pStyle w:val="Heading1"/>
      </w:pPr>
      <w:r>
        <w:t>6. Resultados</w:t>
      </w:r>
    </w:p>
    <w:p>
      <w:pPr>
        <w:pStyle w:val="Heading2"/>
      </w:pPr>
      <w:r>
        <w:t>6.1 Tabla comparativa de movilidad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975"/>
          </w:tcPr>
          <w:p>
            <w:r>
              <w:rPr>
                <w:b/>
              </w:rPr>
              <w:t>cell_radius_km</w:t>
            </w:r>
          </w:p>
        </w:tc>
        <w:tc>
          <w:tcPr>
            <w:tcW w:type="dxa" w:w="975"/>
          </w:tcPr>
          <w:p>
            <w:r>
              <w:rPr>
                <w:b/>
              </w:rPr>
              <w:t>speed_kmh</w:t>
            </w:r>
          </w:p>
        </w:tc>
        <w:tc>
          <w:tcPr>
            <w:tcW w:type="dxa" w:w="975"/>
          </w:tcPr>
          <w:p>
            <w:r>
              <w:rPr>
                <w:b/>
              </w:rPr>
              <w:t>speed_ms</w:t>
            </w:r>
          </w:p>
        </w:tc>
        <w:tc>
          <w:tcPr>
            <w:tcW w:type="dxa" w:w="975"/>
          </w:tcPr>
          <w:p>
            <w:r>
              <w:rPr>
                <w:b/>
              </w:rPr>
              <w:t>carrier_frequency_mhz</w:t>
            </w:r>
          </w:p>
        </w:tc>
        <w:tc>
          <w:tcPr>
            <w:tcW w:type="dxa" w:w="975"/>
          </w:tcPr>
          <w:p>
            <w:r>
              <w:rPr>
                <w:b/>
              </w:rPr>
              <w:t>max_doppler_hz</w:t>
            </w:r>
          </w:p>
        </w:tc>
        <w:tc>
          <w:tcPr>
            <w:tcW w:type="dxa" w:w="975"/>
          </w:tcPr>
          <w:p>
            <w:r>
              <w:rPr>
                <w:b/>
              </w:rPr>
              <w:t>coherence_time_ms</w:t>
            </w:r>
          </w:p>
        </w:tc>
        <w:tc>
          <w:tcPr>
            <w:tcW w:type="dxa" w:w="975"/>
          </w:tcPr>
          <w:p>
            <w:r>
              <w:rPr>
                <w:b/>
              </w:rPr>
              <w:t>gsm_timeslot_ms</w:t>
            </w:r>
          </w:p>
        </w:tc>
        <w:tc>
          <w:tcPr>
            <w:tcW w:type="dxa" w:w="975"/>
          </w:tcPr>
          <w:p>
            <w:r>
              <w:rPr>
                <w:b/>
              </w:rPr>
              <w:t>coherence_to_timeslot_ratio</w:t>
            </w:r>
          </w:p>
        </w:tc>
        <w:tc>
          <w:tcPr>
            <w:tcW w:type="dxa" w:w="975"/>
          </w:tcPr>
          <w:p>
            <w:r>
              <w:rPr>
                <w:b/>
              </w:rPr>
              <w:t>stability_class</w:t>
            </w:r>
          </w:p>
        </w:tc>
      </w:tr>
      <w:tr>
        <w:tc>
          <w:tcPr>
            <w:tcW w:type="dxa" w:w="975"/>
          </w:tcPr>
          <w:p>
            <w:r>
              <w:t>A_convoy_alta_velocidad</w:t>
            </w:r>
          </w:p>
        </w:tc>
        <w:tc>
          <w:tcPr>
            <w:tcW w:type="dxa" w:w="975"/>
          </w:tcPr>
          <w:p>
            <w:r>
              <w:t>3</w:t>
            </w:r>
          </w:p>
        </w:tc>
        <w:tc>
          <w:tcPr>
            <w:tcW w:type="dxa" w:w="975"/>
          </w:tcPr>
          <w:p>
            <w:r>
              <w:t>50</w:t>
            </w:r>
          </w:p>
        </w:tc>
        <w:tc>
          <w:tcPr>
            <w:tcW w:type="dxa" w:w="975"/>
          </w:tcPr>
          <w:p>
            <w:r>
              <w:t>13.8889</w:t>
            </w:r>
          </w:p>
        </w:tc>
        <w:tc>
          <w:tcPr>
            <w:tcW w:type="dxa" w:w="975"/>
          </w:tcPr>
          <w:p>
            <w:r>
              <w:t>900</w:t>
            </w:r>
          </w:p>
        </w:tc>
        <w:tc>
          <w:tcPr>
            <w:tcW w:type="dxa" w:w="975"/>
          </w:tcPr>
          <w:p>
            <w:r>
              <w:t>41.6667</w:t>
            </w:r>
          </w:p>
        </w:tc>
        <w:tc>
          <w:tcPr>
            <w:tcW w:type="dxa" w:w="975"/>
          </w:tcPr>
          <w:p>
            <w:r>
              <w:t>10.152</w:t>
            </w:r>
          </w:p>
        </w:tc>
        <w:tc>
          <w:tcPr>
            <w:tcW w:type="dxa" w:w="975"/>
          </w:tcPr>
          <w:p>
            <w:r>
              <w:t>0.577</w:t>
            </w:r>
          </w:p>
        </w:tc>
        <w:tc>
          <w:tcPr>
            <w:tcW w:type="dxa" w:w="975"/>
          </w:tcPr>
          <w:p>
            <w:r>
              <w:t>17.5945</w:t>
            </w:r>
          </w:p>
        </w:tc>
        <w:tc>
          <w:tcPr>
            <w:tcW w:type="dxa" w:w="975"/>
          </w:tcPr>
          <w:p>
            <w:r>
              <w:t>cuasiestatico</w:t>
            </w:r>
          </w:p>
        </w:tc>
      </w:tr>
      <w:tr>
        <w:tc>
          <w:tcPr>
            <w:tcW w:type="dxa" w:w="975"/>
          </w:tcPr>
          <w:p>
            <w:r>
              <w:t>A_convoy_alta_velocidad</w:t>
            </w:r>
          </w:p>
        </w:tc>
        <w:tc>
          <w:tcPr>
            <w:tcW w:type="dxa" w:w="975"/>
          </w:tcPr>
          <w:p>
            <w:r>
              <w:t>3</w:t>
            </w:r>
          </w:p>
        </w:tc>
        <w:tc>
          <w:tcPr>
            <w:tcW w:type="dxa" w:w="975"/>
          </w:tcPr>
          <w:p>
            <w:r>
              <w:t>250</w:t>
            </w:r>
          </w:p>
        </w:tc>
        <w:tc>
          <w:tcPr>
            <w:tcW w:type="dxa" w:w="975"/>
          </w:tcPr>
          <w:p>
            <w:r>
              <w:t>69.4444</w:t>
            </w:r>
          </w:p>
        </w:tc>
        <w:tc>
          <w:tcPr>
            <w:tcW w:type="dxa" w:w="975"/>
          </w:tcPr>
          <w:p>
            <w:r>
              <w:t>900</w:t>
            </w:r>
          </w:p>
        </w:tc>
        <w:tc>
          <w:tcPr>
            <w:tcW w:type="dxa" w:w="975"/>
          </w:tcPr>
          <w:p>
            <w:r>
              <w:t>208.333</w:t>
            </w:r>
          </w:p>
        </w:tc>
        <w:tc>
          <w:tcPr>
            <w:tcW w:type="dxa" w:w="975"/>
          </w:tcPr>
          <w:p>
            <w:r>
              <w:t>2.0304</w:t>
            </w:r>
          </w:p>
        </w:tc>
        <w:tc>
          <w:tcPr>
            <w:tcW w:type="dxa" w:w="975"/>
          </w:tcPr>
          <w:p>
            <w:r>
              <w:t>0.577</w:t>
            </w:r>
          </w:p>
        </w:tc>
        <w:tc>
          <w:tcPr>
            <w:tcW w:type="dxa" w:w="975"/>
          </w:tcPr>
          <w:p>
            <w:r>
              <w:t>3.51889</w:t>
            </w:r>
          </w:p>
        </w:tc>
        <w:tc>
          <w:tcPr>
            <w:tcW w:type="dxa" w:w="975"/>
          </w:tcPr>
          <w:p>
            <w:r>
              <w:t>estable_con_margen_reducido</w:t>
            </w:r>
          </w:p>
        </w:tc>
      </w:tr>
    </w:tbl>
    <w:p>
      <w:pPr>
        <w:pStyle w:val="Heading2"/>
      </w:pPr>
      <w:r>
        <w:t>6.2 Métricas de fading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3"/>
        <w:gridCol w:w="1083"/>
        <w:gridCol w:w="1083"/>
        <w:gridCol w:w="1083"/>
        <w:gridCol w:w="1083"/>
        <w:gridCol w:w="1083"/>
        <w:gridCol w:w="1083"/>
        <w:gridCol w:w="1083"/>
        <w:gridCol w:w="1083"/>
      </w:tblGrid>
      <w:tr>
        <w:tc>
          <w:tcPr>
            <w:tcW w:type="dxa" w:w="1083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083"/>
          </w:tcPr>
          <w:p>
            <w:r>
              <w:rPr>
                <w:b/>
              </w:rPr>
              <w:t>doppler_hz</w:t>
            </w:r>
          </w:p>
        </w:tc>
        <w:tc>
          <w:tcPr>
            <w:tcW w:type="dxa" w:w="1083"/>
          </w:tcPr>
          <w:p>
            <w:r>
              <w:rPr>
                <w:b/>
              </w:rPr>
              <w:t>envelope_min</w:t>
            </w:r>
          </w:p>
        </w:tc>
        <w:tc>
          <w:tcPr>
            <w:tcW w:type="dxa" w:w="1083"/>
          </w:tcPr>
          <w:p>
            <w:r>
              <w:rPr>
                <w:b/>
              </w:rPr>
              <w:t>envelope_max</w:t>
            </w:r>
          </w:p>
        </w:tc>
        <w:tc>
          <w:tcPr>
            <w:tcW w:type="dxa" w:w="1083"/>
          </w:tcPr>
          <w:p>
            <w:r>
              <w:rPr>
                <w:b/>
              </w:rPr>
              <w:t>envelope_std</w:t>
            </w:r>
          </w:p>
        </w:tc>
        <w:tc>
          <w:tcPr>
            <w:tcW w:type="dxa" w:w="1083"/>
          </w:tcPr>
          <w:p>
            <w:r>
              <w:rPr>
                <w:b/>
              </w:rPr>
              <w:t>relative_peak_to_peak</w:t>
            </w:r>
          </w:p>
        </w:tc>
        <w:tc>
          <w:tcPr>
            <w:tcW w:type="dxa" w:w="1083"/>
          </w:tcPr>
          <w:p>
            <w:r>
              <w:rPr>
                <w:b/>
              </w:rPr>
              <w:t>speed_kmh</w:t>
            </w:r>
          </w:p>
        </w:tc>
        <w:tc>
          <w:tcPr>
            <w:tcW w:type="dxa" w:w="1083"/>
          </w:tcPr>
          <w:p>
            <w:r>
              <w:rPr>
                <w:b/>
              </w:rPr>
              <w:t>coherence_time_ms</w:t>
            </w:r>
          </w:p>
        </w:tc>
        <w:tc>
          <w:tcPr>
            <w:tcW w:type="dxa" w:w="1083"/>
          </w:tcPr>
          <w:p>
            <w:r>
              <w:rPr>
                <w:b/>
              </w:rPr>
              <w:t>stability_class</w:t>
            </w:r>
          </w:p>
        </w:tc>
      </w:tr>
      <w:tr>
        <w:tc>
          <w:tcPr>
            <w:tcW w:type="dxa" w:w="1083"/>
          </w:tcPr>
          <w:p>
            <w:r>
              <w:t>rayleigh</w:t>
            </w:r>
          </w:p>
        </w:tc>
        <w:tc>
          <w:tcPr>
            <w:tcW w:type="dxa" w:w="1083"/>
          </w:tcPr>
          <w:p>
            <w:r>
              <w:t>41.6667</w:t>
            </w:r>
          </w:p>
        </w:tc>
        <w:tc>
          <w:tcPr>
            <w:tcW w:type="dxa" w:w="1083"/>
          </w:tcPr>
          <w:p>
            <w:r>
              <w:t>0.00894961</w:t>
            </w:r>
          </w:p>
        </w:tc>
        <w:tc>
          <w:tcPr>
            <w:tcW w:type="dxa" w:w="1083"/>
          </w:tcPr>
          <w:p>
            <w:r>
              <w:t>3.32166</w:t>
            </w:r>
          </w:p>
        </w:tc>
        <w:tc>
          <w:tcPr>
            <w:tcW w:type="dxa" w:w="1083"/>
          </w:tcPr>
          <w:p>
            <w:r>
              <w:t>0.586993</w:t>
            </w:r>
          </w:p>
        </w:tc>
        <w:tc>
          <w:tcPr>
            <w:tcW w:type="dxa" w:w="1083"/>
          </w:tcPr>
          <w:p>
            <w:r>
              <w:t>3.31271</w:t>
            </w:r>
          </w:p>
        </w:tc>
        <w:tc>
          <w:tcPr>
            <w:tcW w:type="dxa" w:w="1083"/>
          </w:tcPr>
          <w:p>
            <w:r>
              <w:t>50</w:t>
            </w:r>
          </w:p>
        </w:tc>
        <w:tc>
          <w:tcPr>
            <w:tcW w:type="dxa" w:w="1083"/>
          </w:tcPr>
          <w:p>
            <w:r>
              <w:t>10.152</w:t>
            </w:r>
          </w:p>
        </w:tc>
        <w:tc>
          <w:tcPr>
            <w:tcW w:type="dxa" w:w="1083"/>
          </w:tcPr>
          <w:p>
            <w:r>
              <w:t>cuasiestatico</w:t>
            </w:r>
          </w:p>
        </w:tc>
      </w:tr>
      <w:tr>
        <w:tc>
          <w:tcPr>
            <w:tcW w:type="dxa" w:w="1083"/>
          </w:tcPr>
          <w:p>
            <w:r>
              <w:t>rician</w:t>
            </w:r>
          </w:p>
        </w:tc>
        <w:tc>
          <w:tcPr>
            <w:tcW w:type="dxa" w:w="1083"/>
          </w:tcPr>
          <w:p>
            <w:r>
              <w:t>41.6667</w:t>
            </w:r>
          </w:p>
        </w:tc>
        <w:tc>
          <w:tcPr>
            <w:tcW w:type="dxa" w:w="1083"/>
          </w:tcPr>
          <w:p>
            <w:r>
              <w:t>0.734056</w:t>
            </w:r>
          </w:p>
        </w:tc>
        <w:tc>
          <w:tcPr>
            <w:tcW w:type="dxa" w:w="1083"/>
          </w:tcPr>
          <w:p>
            <w:r>
              <w:t>1.25486</w:t>
            </w:r>
          </w:p>
        </w:tc>
        <w:tc>
          <w:tcPr>
            <w:tcW w:type="dxa" w:w="1083"/>
          </w:tcPr>
          <w:p>
            <w:r>
              <w:t>0.100871</w:t>
            </w:r>
          </w:p>
        </w:tc>
        <w:tc>
          <w:tcPr>
            <w:tcW w:type="dxa" w:w="1083"/>
          </w:tcPr>
          <w:p>
            <w:r>
              <w:t>0.5208</w:t>
            </w:r>
          </w:p>
        </w:tc>
        <w:tc>
          <w:tcPr>
            <w:tcW w:type="dxa" w:w="1083"/>
          </w:tcPr>
          <w:p>
            <w:r>
              <w:t>50</w:t>
            </w:r>
          </w:p>
        </w:tc>
        <w:tc>
          <w:tcPr>
            <w:tcW w:type="dxa" w:w="1083"/>
          </w:tcPr>
          <w:p>
            <w:r>
              <w:t>10.152</w:t>
            </w:r>
          </w:p>
        </w:tc>
        <w:tc>
          <w:tcPr>
            <w:tcW w:type="dxa" w:w="1083"/>
          </w:tcPr>
          <w:p>
            <w:r>
              <w:t>cuasiestatico</w:t>
            </w:r>
          </w:p>
        </w:tc>
      </w:tr>
      <w:tr>
        <w:tc>
          <w:tcPr>
            <w:tcW w:type="dxa" w:w="1083"/>
          </w:tcPr>
          <w:p>
            <w:r>
              <w:t>rayleigh</w:t>
            </w:r>
          </w:p>
        </w:tc>
        <w:tc>
          <w:tcPr>
            <w:tcW w:type="dxa" w:w="1083"/>
          </w:tcPr>
          <w:p>
            <w:r>
              <w:t>208.333</w:t>
            </w:r>
          </w:p>
        </w:tc>
        <w:tc>
          <w:tcPr>
            <w:tcW w:type="dxa" w:w="1083"/>
          </w:tcPr>
          <w:p>
            <w:r>
              <w:t>0.145474</w:t>
            </w:r>
          </w:p>
        </w:tc>
        <w:tc>
          <w:tcPr>
            <w:tcW w:type="dxa" w:w="1083"/>
          </w:tcPr>
          <w:p>
            <w:r>
              <w:t>3.0415</w:t>
            </w:r>
          </w:p>
        </w:tc>
        <w:tc>
          <w:tcPr>
            <w:tcW w:type="dxa" w:w="1083"/>
          </w:tcPr>
          <w:p>
            <w:r>
              <w:t>0.453328</w:t>
            </w:r>
          </w:p>
        </w:tc>
        <w:tc>
          <w:tcPr>
            <w:tcW w:type="dxa" w:w="1083"/>
          </w:tcPr>
          <w:p>
            <w:r>
              <w:t>2.89602</w:t>
            </w:r>
          </w:p>
        </w:tc>
        <w:tc>
          <w:tcPr>
            <w:tcW w:type="dxa" w:w="1083"/>
          </w:tcPr>
          <w:p>
            <w:r>
              <w:t>250</w:t>
            </w:r>
          </w:p>
        </w:tc>
        <w:tc>
          <w:tcPr>
            <w:tcW w:type="dxa" w:w="1083"/>
          </w:tcPr>
          <w:p>
            <w:r>
              <w:t>2.0304</w:t>
            </w:r>
          </w:p>
        </w:tc>
        <w:tc>
          <w:tcPr>
            <w:tcW w:type="dxa" w:w="1083"/>
          </w:tcPr>
          <w:p>
            <w:r>
              <w:t>estable_con_margen_reducido</w:t>
            </w:r>
          </w:p>
        </w:tc>
      </w:tr>
      <w:tr>
        <w:tc>
          <w:tcPr>
            <w:tcW w:type="dxa" w:w="1083"/>
          </w:tcPr>
          <w:p>
            <w:r>
              <w:t>rician</w:t>
            </w:r>
          </w:p>
        </w:tc>
        <w:tc>
          <w:tcPr>
            <w:tcW w:type="dxa" w:w="1083"/>
          </w:tcPr>
          <w:p>
            <w:r>
              <w:t>208.333</w:t>
            </w:r>
          </w:p>
        </w:tc>
        <w:tc>
          <w:tcPr>
            <w:tcW w:type="dxa" w:w="1083"/>
          </w:tcPr>
          <w:p>
            <w:r>
              <w:t>0.694197</w:t>
            </w:r>
          </w:p>
        </w:tc>
        <w:tc>
          <w:tcPr>
            <w:tcW w:type="dxa" w:w="1083"/>
          </w:tcPr>
          <w:p>
            <w:r>
              <w:t>1.2311</w:t>
            </w:r>
          </w:p>
        </w:tc>
        <w:tc>
          <w:tcPr>
            <w:tcW w:type="dxa" w:w="1083"/>
          </w:tcPr>
          <w:p>
            <w:r>
              <w:t>0.105082</w:t>
            </w:r>
          </w:p>
        </w:tc>
        <w:tc>
          <w:tcPr>
            <w:tcW w:type="dxa" w:w="1083"/>
          </w:tcPr>
          <w:p>
            <w:r>
              <w:t>0.536901</w:t>
            </w:r>
          </w:p>
        </w:tc>
        <w:tc>
          <w:tcPr>
            <w:tcW w:type="dxa" w:w="1083"/>
          </w:tcPr>
          <w:p>
            <w:r>
              <w:t>250</w:t>
            </w:r>
          </w:p>
        </w:tc>
        <w:tc>
          <w:tcPr>
            <w:tcW w:type="dxa" w:w="1083"/>
          </w:tcPr>
          <w:p>
            <w:r>
              <w:t>2.0304</w:t>
            </w:r>
          </w:p>
        </w:tc>
        <w:tc>
          <w:tcPr>
            <w:tcW w:type="dxa" w:w="1083"/>
          </w:tcPr>
          <w:p>
            <w:r>
              <w:t>estable_con_margen_reducido</w:t>
            </w:r>
          </w:p>
        </w:tc>
      </w:tr>
    </w:tbl>
    <w:p>
      <w:pPr>
        <w:pStyle w:val="Heading2"/>
      </w:pPr>
      <w:r>
        <w:t>6.3 Planificación de frecuencias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  <w:gridCol w:w="975"/>
      </w:tblGrid>
      <w:tr>
        <w:tc>
          <w:tcPr>
            <w:tcW w:type="dxa" w:w="975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975"/>
          </w:tcPr>
          <w:p>
            <w:r>
              <w:rPr>
                <w:b/>
              </w:rPr>
              <w:t>cell</w:t>
            </w:r>
          </w:p>
        </w:tc>
        <w:tc>
          <w:tcPr>
            <w:tcW w:type="dxa" w:w="975"/>
          </w:tcPr>
          <w:p>
            <w:r>
              <w:rPr>
                <w:b/>
              </w:rPr>
              <w:t>cell_radius_km</w:t>
            </w:r>
          </w:p>
        </w:tc>
        <w:tc>
          <w:tcPr>
            <w:tcW w:type="dxa" w:w="975"/>
          </w:tcPr>
          <w:p>
            <w:r>
              <w:rPr>
                <w:b/>
              </w:rPr>
              <w:t>cluster_size_N</w:t>
            </w:r>
          </w:p>
        </w:tc>
        <w:tc>
          <w:tcPr>
            <w:tcW w:type="dxa" w:w="975"/>
          </w:tcPr>
          <w:p>
            <w:r>
              <w:rPr>
                <w:b/>
              </w:rPr>
              <w:t>total_carriers</w:t>
            </w:r>
          </w:p>
        </w:tc>
        <w:tc>
          <w:tcPr>
            <w:tcW w:type="dxa" w:w="975"/>
          </w:tcPr>
          <w:p>
            <w:r>
              <w:rPr>
                <w:b/>
              </w:rPr>
              <w:t>carriers_per_cell</w:t>
            </w:r>
          </w:p>
        </w:tc>
        <w:tc>
          <w:tcPr>
            <w:tcW w:type="dxa" w:w="975"/>
          </w:tcPr>
          <w:p>
            <w:r>
              <w:rPr>
                <w:b/>
              </w:rPr>
              <w:t>arfcn_range</w:t>
            </w:r>
          </w:p>
        </w:tc>
        <w:tc>
          <w:tcPr>
            <w:tcW w:type="dxa" w:w="975"/>
          </w:tcPr>
          <w:p>
            <w:r>
              <w:rPr>
                <w:b/>
              </w:rPr>
              <w:t>arfcn_list</w:t>
            </w:r>
          </w:p>
        </w:tc>
        <w:tc>
          <w:tcPr>
            <w:tcW w:type="dxa" w:w="975"/>
          </w:tcPr>
          <w:p>
            <w:r>
              <w:rPr>
                <w:b/>
              </w:rPr>
              <w:t>reuse_ratio_D_over_R</w:t>
            </w:r>
          </w:p>
        </w:tc>
        <w:tc>
          <w:tcPr>
            <w:tcW w:type="dxa" w:w="975"/>
          </w:tcPr>
          <w:p>
            <w:r>
              <w:rPr>
                <w:b/>
              </w:rPr>
              <w:t>reuse_distance_km</w:t>
            </w:r>
          </w:p>
        </w:tc>
      </w:tr>
      <w:tr>
        <w:tc>
          <w:tcPr>
            <w:tcW w:type="dxa" w:w="975"/>
          </w:tcPr>
          <w:p>
            <w:r>
              <w:t>B_campamento_base</w:t>
            </w:r>
          </w:p>
        </w:tc>
        <w:tc>
          <w:tcPr>
            <w:tcW w:type="dxa" w:w="975"/>
          </w:tcPr>
          <w:p>
            <w:r>
              <w:t>A</w:t>
            </w:r>
          </w:p>
        </w:tc>
        <w:tc>
          <w:tcPr>
            <w:tcW w:type="dxa" w:w="975"/>
          </w:tcPr>
          <w:p>
            <w:r>
              <w:t>1.5</w:t>
            </w:r>
          </w:p>
        </w:tc>
        <w:tc>
          <w:tcPr>
            <w:tcW w:type="dxa" w:w="975"/>
          </w:tcPr>
          <w:p>
            <w:r>
              <w:t>4</w:t>
            </w:r>
          </w:p>
        </w:tc>
        <w:tc>
          <w:tcPr>
            <w:tcW w:type="dxa" w:w="975"/>
          </w:tcPr>
          <w:p>
            <w:r>
              <w:t>24</w:t>
            </w:r>
          </w:p>
        </w:tc>
        <w:tc>
          <w:tcPr>
            <w:tcW w:type="dxa" w:w="975"/>
          </w:tcPr>
          <w:p>
            <w:r>
              <w:t>6</w:t>
            </w:r>
          </w:p>
        </w:tc>
        <w:tc>
          <w:tcPr>
            <w:tcW w:type="dxa" w:w="975"/>
          </w:tcPr>
          <w:p>
            <w:r>
              <w:t>1-6</w:t>
            </w:r>
          </w:p>
        </w:tc>
        <w:tc>
          <w:tcPr>
            <w:tcW w:type="dxa" w:w="975"/>
          </w:tcPr>
          <w:p>
            <w:r>
              <w:t>1, 2, 3, 4, 5, 6</w:t>
            </w:r>
          </w:p>
        </w:tc>
        <w:tc>
          <w:tcPr>
            <w:tcW w:type="dxa" w:w="975"/>
          </w:tcPr>
          <w:p>
            <w:r>
              <w:t>3.4641</w:t>
            </w:r>
          </w:p>
        </w:tc>
        <w:tc>
          <w:tcPr>
            <w:tcW w:type="dxa" w:w="975"/>
          </w:tcPr>
          <w:p>
            <w:r>
              <w:t>5.19615</w:t>
            </w:r>
          </w:p>
        </w:tc>
      </w:tr>
      <w:tr>
        <w:tc>
          <w:tcPr>
            <w:tcW w:type="dxa" w:w="975"/>
          </w:tcPr>
          <w:p>
            <w:r>
              <w:t>B_campamento_base</w:t>
            </w:r>
          </w:p>
        </w:tc>
        <w:tc>
          <w:tcPr>
            <w:tcW w:type="dxa" w:w="975"/>
          </w:tcPr>
          <w:p>
            <w:r>
              <w:t>B</w:t>
            </w:r>
          </w:p>
        </w:tc>
        <w:tc>
          <w:tcPr>
            <w:tcW w:type="dxa" w:w="975"/>
          </w:tcPr>
          <w:p>
            <w:r>
              <w:t>1.5</w:t>
            </w:r>
          </w:p>
        </w:tc>
        <w:tc>
          <w:tcPr>
            <w:tcW w:type="dxa" w:w="975"/>
          </w:tcPr>
          <w:p>
            <w:r>
              <w:t>4</w:t>
            </w:r>
          </w:p>
        </w:tc>
        <w:tc>
          <w:tcPr>
            <w:tcW w:type="dxa" w:w="975"/>
          </w:tcPr>
          <w:p>
            <w:r>
              <w:t>24</w:t>
            </w:r>
          </w:p>
        </w:tc>
        <w:tc>
          <w:tcPr>
            <w:tcW w:type="dxa" w:w="975"/>
          </w:tcPr>
          <w:p>
            <w:r>
              <w:t>6</w:t>
            </w:r>
          </w:p>
        </w:tc>
        <w:tc>
          <w:tcPr>
            <w:tcW w:type="dxa" w:w="975"/>
          </w:tcPr>
          <w:p>
            <w:r>
              <w:t>7-12</w:t>
            </w:r>
          </w:p>
        </w:tc>
        <w:tc>
          <w:tcPr>
            <w:tcW w:type="dxa" w:w="975"/>
          </w:tcPr>
          <w:p>
            <w:r>
              <w:t>7, 8, 9, 10, 11, 12</w:t>
            </w:r>
          </w:p>
        </w:tc>
        <w:tc>
          <w:tcPr>
            <w:tcW w:type="dxa" w:w="975"/>
          </w:tcPr>
          <w:p>
            <w:r>
              <w:t>3.4641</w:t>
            </w:r>
          </w:p>
        </w:tc>
        <w:tc>
          <w:tcPr>
            <w:tcW w:type="dxa" w:w="975"/>
          </w:tcPr>
          <w:p>
            <w:r>
              <w:t>5.19615</w:t>
            </w:r>
          </w:p>
        </w:tc>
      </w:tr>
      <w:tr>
        <w:tc>
          <w:tcPr>
            <w:tcW w:type="dxa" w:w="975"/>
          </w:tcPr>
          <w:p>
            <w:r>
              <w:t>B_campamento_base</w:t>
            </w:r>
          </w:p>
        </w:tc>
        <w:tc>
          <w:tcPr>
            <w:tcW w:type="dxa" w:w="975"/>
          </w:tcPr>
          <w:p>
            <w:r>
              <w:t>C</w:t>
            </w:r>
          </w:p>
        </w:tc>
        <w:tc>
          <w:tcPr>
            <w:tcW w:type="dxa" w:w="975"/>
          </w:tcPr>
          <w:p>
            <w:r>
              <w:t>1.5</w:t>
            </w:r>
          </w:p>
        </w:tc>
        <w:tc>
          <w:tcPr>
            <w:tcW w:type="dxa" w:w="975"/>
          </w:tcPr>
          <w:p>
            <w:r>
              <w:t>4</w:t>
            </w:r>
          </w:p>
        </w:tc>
        <w:tc>
          <w:tcPr>
            <w:tcW w:type="dxa" w:w="975"/>
          </w:tcPr>
          <w:p>
            <w:r>
              <w:t>24</w:t>
            </w:r>
          </w:p>
        </w:tc>
        <w:tc>
          <w:tcPr>
            <w:tcW w:type="dxa" w:w="975"/>
          </w:tcPr>
          <w:p>
            <w:r>
              <w:t>6</w:t>
            </w:r>
          </w:p>
        </w:tc>
        <w:tc>
          <w:tcPr>
            <w:tcW w:type="dxa" w:w="975"/>
          </w:tcPr>
          <w:p>
            <w:r>
              <w:t>13-18</w:t>
            </w:r>
          </w:p>
        </w:tc>
        <w:tc>
          <w:tcPr>
            <w:tcW w:type="dxa" w:w="975"/>
          </w:tcPr>
          <w:p>
            <w:r>
              <w:t>13, 14, 15, 16, 17, 18</w:t>
            </w:r>
          </w:p>
        </w:tc>
        <w:tc>
          <w:tcPr>
            <w:tcW w:type="dxa" w:w="975"/>
          </w:tcPr>
          <w:p>
            <w:r>
              <w:t>3.4641</w:t>
            </w:r>
          </w:p>
        </w:tc>
        <w:tc>
          <w:tcPr>
            <w:tcW w:type="dxa" w:w="975"/>
          </w:tcPr>
          <w:p>
            <w:r>
              <w:t>5.19615</w:t>
            </w:r>
          </w:p>
        </w:tc>
      </w:tr>
      <w:tr>
        <w:tc>
          <w:tcPr>
            <w:tcW w:type="dxa" w:w="975"/>
          </w:tcPr>
          <w:p>
            <w:r>
              <w:t>B_campamento_base</w:t>
            </w:r>
          </w:p>
        </w:tc>
        <w:tc>
          <w:tcPr>
            <w:tcW w:type="dxa" w:w="975"/>
          </w:tcPr>
          <w:p>
            <w:r>
              <w:t>D</w:t>
            </w:r>
          </w:p>
        </w:tc>
        <w:tc>
          <w:tcPr>
            <w:tcW w:type="dxa" w:w="975"/>
          </w:tcPr>
          <w:p>
            <w:r>
              <w:t>1.5</w:t>
            </w:r>
          </w:p>
        </w:tc>
        <w:tc>
          <w:tcPr>
            <w:tcW w:type="dxa" w:w="975"/>
          </w:tcPr>
          <w:p>
            <w:r>
              <w:t>4</w:t>
            </w:r>
          </w:p>
        </w:tc>
        <w:tc>
          <w:tcPr>
            <w:tcW w:type="dxa" w:w="975"/>
          </w:tcPr>
          <w:p>
            <w:r>
              <w:t>24</w:t>
            </w:r>
          </w:p>
        </w:tc>
        <w:tc>
          <w:tcPr>
            <w:tcW w:type="dxa" w:w="975"/>
          </w:tcPr>
          <w:p>
            <w:r>
              <w:t>6</w:t>
            </w:r>
          </w:p>
        </w:tc>
        <w:tc>
          <w:tcPr>
            <w:tcW w:type="dxa" w:w="975"/>
          </w:tcPr>
          <w:p>
            <w:r>
              <w:t>19-24</w:t>
            </w:r>
          </w:p>
        </w:tc>
        <w:tc>
          <w:tcPr>
            <w:tcW w:type="dxa" w:w="975"/>
          </w:tcPr>
          <w:p>
            <w:r>
              <w:t>19, 20, 21, 22, 23, 24</w:t>
            </w:r>
          </w:p>
        </w:tc>
        <w:tc>
          <w:tcPr>
            <w:tcW w:type="dxa" w:w="975"/>
          </w:tcPr>
          <w:p>
            <w:r>
              <w:t>3.4641</w:t>
            </w:r>
          </w:p>
        </w:tc>
        <w:tc>
          <w:tcPr>
            <w:tcW w:type="dxa" w:w="975"/>
          </w:tcPr>
          <w:p>
            <w:r>
              <w:t>5.19615</w:t>
            </w:r>
          </w:p>
        </w:tc>
      </w:tr>
    </w:tbl>
    <w:p>
      <w:pPr>
        <w:pStyle w:val="Heading2"/>
      </w:pPr>
      <w:r>
        <w:t>6.4 Canales lógicos y físicos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</w:tcPr>
          <w:p>
            <w:r>
              <w:rPr>
                <w:b/>
              </w:rPr>
              <w:t>cell</w:t>
            </w:r>
          </w:p>
        </w:tc>
        <w:tc>
          <w:tcPr>
            <w:tcW w:type="dxa" w:w="1392"/>
          </w:tcPr>
          <w:p>
            <w:r>
              <w:rPr>
                <w:b/>
              </w:rPr>
              <w:t>arfcn</w:t>
            </w:r>
          </w:p>
        </w:tc>
        <w:tc>
          <w:tcPr>
            <w:tcW w:type="dxa" w:w="1392"/>
          </w:tcPr>
          <w:p>
            <w:r>
              <w:rPr>
                <w:b/>
              </w:rPr>
              <w:t>carrier_role</w:t>
            </w:r>
          </w:p>
        </w:tc>
        <w:tc>
          <w:tcPr>
            <w:tcW w:type="dxa" w:w="1392"/>
          </w:tcPr>
          <w:p>
            <w:r>
              <w:rPr>
                <w:b/>
              </w:rPr>
              <w:t>frequency_hopping_recommended</w:t>
            </w:r>
          </w:p>
        </w:tc>
        <w:tc>
          <w:tcPr>
            <w:tcW w:type="dxa" w:w="1392"/>
          </w:tcPr>
          <w:p>
            <w:r>
              <w:rPr>
                <w:b/>
              </w:rPr>
              <w:t>power_policy</w:t>
            </w:r>
          </w:p>
        </w:tc>
        <w:tc>
          <w:tcPr>
            <w:tcW w:type="dxa" w:w="1392"/>
          </w:tcPr>
          <w:p>
            <w:r>
              <w:rPr>
                <w:b/>
              </w:rPr>
              <w:t>available_timeslots</w:t>
            </w:r>
          </w:p>
        </w:tc>
        <w:tc>
          <w:tcPr>
            <w:tcW w:type="dxa" w:w="1392"/>
          </w:tcPr>
          <w:p>
            <w:r>
              <w:rPr>
                <w:b/>
              </w:rPr>
              <w:t>engineering_note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BCCH/CCCH control</w:t>
            </w:r>
          </w:p>
        </w:tc>
        <w:tc>
          <w:tcPr>
            <w:tcW w:type="dxa" w:w="1392"/>
          </w:tcPr>
          <w:p>
            <w:r>
              <w:t>False</w:t>
            </w:r>
          </w:p>
        </w:tc>
        <w:tc>
          <w:tcPr>
            <w:tcW w:type="dxa" w:w="1392"/>
          </w:tcPr>
          <w:p>
            <w:r>
              <w:t>fixed/stable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BCCH debe ser detectable y estable para camping, sincronización y control.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2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3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4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5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A</w:t>
            </w:r>
          </w:p>
        </w:tc>
        <w:tc>
          <w:tcPr>
            <w:tcW w:type="dxa" w:w="1392"/>
          </w:tcPr>
          <w:p>
            <w:r>
              <w:t>6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7</w:t>
            </w:r>
          </w:p>
        </w:tc>
        <w:tc>
          <w:tcPr>
            <w:tcW w:type="dxa" w:w="1392"/>
          </w:tcPr>
          <w:p>
            <w:r>
              <w:t>BCCH/CCCH control</w:t>
            </w:r>
          </w:p>
        </w:tc>
        <w:tc>
          <w:tcPr>
            <w:tcW w:type="dxa" w:w="1392"/>
          </w:tcPr>
          <w:p>
            <w:r>
              <w:t>False</w:t>
            </w:r>
          </w:p>
        </w:tc>
        <w:tc>
          <w:tcPr>
            <w:tcW w:type="dxa" w:w="1392"/>
          </w:tcPr>
          <w:p>
            <w:r>
              <w:t>fixed/stable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BCCH debe ser detectable y estable para camping, sincronización y control.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9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10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11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B</w:t>
            </w:r>
          </w:p>
        </w:tc>
        <w:tc>
          <w:tcPr>
            <w:tcW w:type="dxa" w:w="1392"/>
          </w:tcPr>
          <w:p>
            <w:r>
              <w:t>12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C</w:t>
            </w:r>
          </w:p>
        </w:tc>
        <w:tc>
          <w:tcPr>
            <w:tcW w:type="dxa" w:w="1392"/>
          </w:tcPr>
          <w:p>
            <w:r>
              <w:t>13</w:t>
            </w:r>
          </w:p>
        </w:tc>
        <w:tc>
          <w:tcPr>
            <w:tcW w:type="dxa" w:w="1392"/>
          </w:tcPr>
          <w:p>
            <w:r>
              <w:t>BCCH/CCCH control</w:t>
            </w:r>
          </w:p>
        </w:tc>
        <w:tc>
          <w:tcPr>
            <w:tcW w:type="dxa" w:w="1392"/>
          </w:tcPr>
          <w:p>
            <w:r>
              <w:t>False</w:t>
            </w:r>
          </w:p>
        </w:tc>
        <w:tc>
          <w:tcPr>
            <w:tcW w:type="dxa" w:w="1392"/>
          </w:tcPr>
          <w:p>
            <w:r>
              <w:t>fixed/stable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BCCH debe ser detectable y estable para camping, sincronización y control.</w:t>
            </w:r>
          </w:p>
        </w:tc>
      </w:tr>
      <w:tr>
        <w:tc>
          <w:tcPr>
            <w:tcW w:type="dxa" w:w="1392"/>
          </w:tcPr>
          <w:p>
            <w:r>
              <w:t>C</w:t>
            </w:r>
          </w:p>
        </w:tc>
        <w:tc>
          <w:tcPr>
            <w:tcW w:type="dxa" w:w="1392"/>
          </w:tcPr>
          <w:p>
            <w:r>
              <w:t>14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C</w:t>
            </w:r>
          </w:p>
        </w:tc>
        <w:tc>
          <w:tcPr>
            <w:tcW w:type="dxa" w:w="1392"/>
          </w:tcPr>
          <w:p>
            <w:r>
              <w:t>15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C</w:t>
            </w:r>
          </w:p>
        </w:tc>
        <w:tc>
          <w:tcPr>
            <w:tcW w:type="dxa" w:w="1392"/>
          </w:tcPr>
          <w:p>
            <w:r>
              <w:t>16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C</w:t>
            </w:r>
          </w:p>
        </w:tc>
        <w:tc>
          <w:tcPr>
            <w:tcW w:type="dxa" w:w="1392"/>
          </w:tcPr>
          <w:p>
            <w:r>
              <w:t>17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C</w:t>
            </w:r>
          </w:p>
        </w:tc>
        <w:tc>
          <w:tcPr>
            <w:tcW w:type="dxa" w:w="1392"/>
          </w:tcPr>
          <w:p>
            <w:r>
              <w:t>18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D</w:t>
            </w:r>
          </w:p>
        </w:tc>
        <w:tc>
          <w:tcPr>
            <w:tcW w:type="dxa" w:w="1392"/>
          </w:tcPr>
          <w:p>
            <w:r>
              <w:t>19</w:t>
            </w:r>
          </w:p>
        </w:tc>
        <w:tc>
          <w:tcPr>
            <w:tcW w:type="dxa" w:w="1392"/>
          </w:tcPr>
          <w:p>
            <w:r>
              <w:t>BCCH/CCCH control</w:t>
            </w:r>
          </w:p>
        </w:tc>
        <w:tc>
          <w:tcPr>
            <w:tcW w:type="dxa" w:w="1392"/>
          </w:tcPr>
          <w:p>
            <w:r>
              <w:t>False</w:t>
            </w:r>
          </w:p>
        </w:tc>
        <w:tc>
          <w:tcPr>
            <w:tcW w:type="dxa" w:w="1392"/>
          </w:tcPr>
          <w:p>
            <w:r>
              <w:t>fixed/stable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BCCH debe ser detectable y estable para camping, sincronización y control.</w:t>
            </w:r>
          </w:p>
        </w:tc>
      </w:tr>
      <w:tr>
        <w:tc>
          <w:tcPr>
            <w:tcW w:type="dxa" w:w="1392"/>
          </w:tcPr>
          <w:p>
            <w:r>
              <w:t>D</w:t>
            </w:r>
          </w:p>
        </w:tc>
        <w:tc>
          <w:tcPr>
            <w:tcW w:type="dxa" w:w="1392"/>
          </w:tcPr>
          <w:p>
            <w:r>
              <w:t>20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D</w:t>
            </w:r>
          </w:p>
        </w:tc>
        <w:tc>
          <w:tcPr>
            <w:tcW w:type="dxa" w:w="1392"/>
          </w:tcPr>
          <w:p>
            <w:r>
              <w:t>21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D</w:t>
            </w:r>
          </w:p>
        </w:tc>
        <w:tc>
          <w:tcPr>
            <w:tcW w:type="dxa" w:w="1392"/>
          </w:tcPr>
          <w:p>
            <w:r>
              <w:t>22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D</w:t>
            </w:r>
          </w:p>
        </w:tc>
        <w:tc>
          <w:tcPr>
            <w:tcW w:type="dxa" w:w="1392"/>
          </w:tcPr>
          <w:p>
            <w:r>
              <w:t>23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  <w:tr>
        <w:tc>
          <w:tcPr>
            <w:tcW w:type="dxa" w:w="1392"/>
          </w:tcPr>
          <w:p>
            <w:r>
              <w:t>D</w:t>
            </w:r>
          </w:p>
        </w:tc>
        <w:tc>
          <w:tcPr>
            <w:tcW w:type="dxa" w:w="1392"/>
          </w:tcPr>
          <w:p>
            <w:r>
              <w:t>24</w:t>
            </w:r>
          </w:p>
        </w:tc>
        <w:tc>
          <w:tcPr>
            <w:tcW w:type="dxa" w:w="1392"/>
          </w:tcPr>
          <w:p>
            <w:r>
              <w:t>TCH traffic</w:t>
            </w:r>
          </w:p>
        </w:tc>
        <w:tc>
          <w:tcPr>
            <w:tcW w:type="dxa" w:w="1392"/>
          </w:tcPr>
          <w:p>
            <w:r>
              <w:t>True</w:t>
            </w:r>
          </w:p>
        </w:tc>
        <w:tc>
          <w:tcPr>
            <w:tcW w:type="dxa" w:w="1392"/>
          </w:tcPr>
          <w:p>
            <w:r>
              <w:t>adaptive if supported</w:t>
            </w:r>
          </w:p>
        </w:tc>
        <w:tc>
          <w:tcPr>
            <w:tcW w:type="dxa" w:w="1392"/>
          </w:tcPr>
          <w:p>
            <w:r>
              <w:t>8</w:t>
            </w:r>
          </w:p>
        </w:tc>
        <w:tc>
          <w:tcPr>
            <w:tcW w:type="dxa" w:w="1392"/>
          </w:tcPr>
          <w:p>
            <w:r>
              <w:t>TCH transporta tráfico; puede beneficiarse de hopping y control de potencia.</w:t>
            </w:r>
          </w:p>
        </w:tc>
      </w:tr>
    </w:tbl>
    <w:p>
      <w:pPr>
        <w:pStyle w:val="Heading2"/>
      </w:pPr>
      <w:r>
        <w:t>6.5 Instrumentación y RBW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</w:tcPr>
          <w:p>
            <w:r>
              <w:rPr>
                <w:b/>
              </w:rPr>
              <w:t>rbw_hz</w:t>
            </w:r>
          </w:p>
        </w:tc>
        <w:tc>
          <w:tcPr>
            <w:tcW w:type="dxa" w:w="1624"/>
          </w:tcPr>
          <w:p>
            <w:r>
              <w:rPr>
                <w:b/>
              </w:rPr>
              <w:t>rbw_khz</w:t>
            </w:r>
          </w:p>
        </w:tc>
        <w:tc>
          <w:tcPr>
            <w:tcW w:type="dxa" w:w="1624"/>
          </w:tcPr>
          <w:p>
            <w:r>
              <w:rPr>
                <w:b/>
              </w:rPr>
              <w:t>noise_figure_db</w:t>
            </w:r>
          </w:p>
        </w:tc>
        <w:tc>
          <w:tcPr>
            <w:tcW w:type="dxa" w:w="1624"/>
          </w:tcPr>
          <w:p>
            <w:r>
              <w:rPr>
                <w:b/>
              </w:rPr>
              <w:t>noise_floor_dbm</w:t>
            </w:r>
          </w:p>
        </w:tc>
        <w:tc>
          <w:tcPr>
            <w:tcW w:type="dxa" w:w="1624"/>
          </w:tcPr>
          <w:p>
            <w:r>
              <w:rPr>
                <w:b/>
              </w:rPr>
              <w:t>delta_vs_100khz_db</w:t>
            </w:r>
          </w:p>
        </w:tc>
        <w:tc>
          <w:tcPr>
            <w:tcW w:type="dxa" w:w="1624"/>
          </w:tcPr>
          <w:p>
            <w:r>
              <w:rPr>
                <w:b/>
              </w:rPr>
              <w:t>measurement_interpretation</w:t>
            </w:r>
          </w:p>
        </w:tc>
      </w:tr>
      <w:tr>
        <w:tc>
          <w:tcPr>
            <w:tcW w:type="dxa" w:w="1624"/>
          </w:tcPr>
          <w:p>
            <w:r>
              <w:t>100000</w:t>
            </w:r>
          </w:p>
        </w:tc>
        <w:tc>
          <w:tcPr>
            <w:tcW w:type="dxa" w:w="1624"/>
          </w:tcPr>
          <w:p>
            <w:r>
              <w:t>100</w:t>
            </w:r>
          </w:p>
        </w:tc>
        <w:tc>
          <w:tcPr>
            <w:tcW w:type="dxa" w:w="1624"/>
          </w:tcPr>
          <w:p>
            <w:r>
              <w:t>6</w:t>
            </w:r>
          </w:p>
        </w:tc>
        <w:tc>
          <w:tcPr>
            <w:tcW w:type="dxa" w:w="1624"/>
          </w:tcPr>
          <w:p>
            <w:r>
              <w:t>-118</w:t>
            </w:r>
          </w:p>
        </w:tc>
        <w:tc>
          <w:tcPr>
            <w:tcW w:type="dxa" w:w="1624"/>
          </w:tcPr>
          <w:p>
            <w:r>
              <w:t>0</w:t>
            </w:r>
          </w:p>
        </w:tc>
        <w:tc>
          <w:tcPr>
            <w:tcW w:type="dxa" w:w="1624"/>
          </w:tcPr>
          <w:p>
            <w:r>
              <w:t>RBW ancho: medida rápida, más ruido integrado.</w:t>
            </w:r>
          </w:p>
        </w:tc>
      </w:tr>
      <w:tr>
        <w:tc>
          <w:tcPr>
            <w:tcW w:type="dxa" w:w="1624"/>
          </w:tcPr>
          <w:p>
            <w:r>
              <w:t>10000</w:t>
            </w:r>
          </w:p>
        </w:tc>
        <w:tc>
          <w:tcPr>
            <w:tcW w:type="dxa" w:w="1624"/>
          </w:tcPr>
          <w:p>
            <w:r>
              <w:t>10</w:t>
            </w:r>
          </w:p>
        </w:tc>
        <w:tc>
          <w:tcPr>
            <w:tcW w:type="dxa" w:w="1624"/>
          </w:tcPr>
          <w:p>
            <w:r>
              <w:t>6</w:t>
            </w:r>
          </w:p>
        </w:tc>
        <w:tc>
          <w:tcPr>
            <w:tcW w:type="dxa" w:w="1624"/>
          </w:tcPr>
          <w:p>
            <w:r>
              <w:t>-128</w:t>
            </w:r>
          </w:p>
        </w:tc>
        <w:tc>
          <w:tcPr>
            <w:tcW w:type="dxa" w:w="1624"/>
          </w:tcPr>
          <w:p>
            <w:r>
              <w:t>-10</w:t>
            </w:r>
          </w:p>
        </w:tc>
        <w:tc>
          <w:tcPr>
            <w:tcW w:type="dxa" w:w="1624"/>
          </w:tcPr>
          <w:p>
            <w:r>
              <w:t>RBW estrecho: menor ruido integrado, barrido más lento.</w:t>
            </w:r>
          </w:p>
        </w:tc>
      </w:tr>
      <w:tr>
        <w:tc>
          <w:tcPr>
            <w:tcW w:type="dxa" w:w="1624"/>
          </w:tcPr>
          <w:p>
            <w:r>
              <w:t>1000</w:t>
            </w:r>
          </w:p>
        </w:tc>
        <w:tc>
          <w:tcPr>
            <w:tcW w:type="dxa" w:w="1624"/>
          </w:tcPr>
          <w:p>
            <w:r>
              <w:t>1</w:t>
            </w:r>
          </w:p>
        </w:tc>
        <w:tc>
          <w:tcPr>
            <w:tcW w:type="dxa" w:w="1624"/>
          </w:tcPr>
          <w:p>
            <w:r>
              <w:t>6</w:t>
            </w:r>
          </w:p>
        </w:tc>
        <w:tc>
          <w:tcPr>
            <w:tcW w:type="dxa" w:w="1624"/>
          </w:tcPr>
          <w:p>
            <w:r>
              <w:t>-138</w:t>
            </w:r>
          </w:p>
        </w:tc>
        <w:tc>
          <w:tcPr>
            <w:tcW w:type="dxa" w:w="1624"/>
          </w:tcPr>
          <w:p>
            <w:r>
              <w:t>-20</w:t>
            </w:r>
          </w:p>
        </w:tc>
        <w:tc>
          <w:tcPr>
            <w:tcW w:type="dxa" w:w="1624"/>
          </w:tcPr>
          <w:p>
            <w:r>
              <w:t>RBW estrecho: menor ruido integrado, barrido más lento.</w:t>
            </w:r>
          </w:p>
        </w:tc>
      </w:tr>
    </w:tbl>
    <w:p>
      <w:pPr>
        <w:pStyle w:val="Heading2"/>
      </w:pPr>
      <w:r>
        <w:t>6.6 Checklist RED orientativo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249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3249"/>
          </w:tcPr>
          <w:p>
            <w:r>
              <w:rPr>
                <w:b/>
              </w:rPr>
              <w:t>student_task</w:t>
            </w:r>
          </w:p>
        </w:tc>
      </w:tr>
      <w:tr>
        <w:tc>
          <w:tcPr>
            <w:tcW w:type="dxa" w:w="3249"/>
          </w:tcPr>
          <w:p>
            <w:r>
              <w:t>Uso eficiente del espectro</w:t>
            </w:r>
          </w:p>
        </w:tc>
        <w:tc>
          <w:tcPr>
            <w:tcW w:type="dxa" w:w="3249"/>
          </w:tcPr>
          <w:p>
            <w:r>
              <w:t>planificación ARFCN, clúster N=4, distancia de reutilización y control de co-canal</w:t>
            </w:r>
          </w:p>
        </w:tc>
        <w:tc>
          <w:tcPr>
            <w:tcW w:type="dxa" w:w="3249"/>
          </w:tcPr>
          <w:p>
            <w:r>
              <w:t>Justificar que la asignación espectral reduce interferencias y evita solapamientos.</w:t>
            </w:r>
          </w:p>
        </w:tc>
      </w:tr>
      <w:tr>
        <w:tc>
          <w:tcPr>
            <w:tcW w:type="dxa" w:w="3249"/>
          </w:tcPr>
          <w:p>
            <w:r>
              <w:t>Emisiones no deseadas</w:t>
            </w:r>
          </w:p>
        </w:tc>
        <w:tc>
          <w:tcPr>
            <w:tcW w:type="dxa" w:w="3249"/>
          </w:tcPr>
          <w:p>
            <w:r>
              <w:t>medida con analizador de espectro y ajuste de RBW</w:t>
            </w:r>
          </w:p>
        </w:tc>
        <w:tc>
          <w:tcPr>
            <w:tcW w:type="dxa" w:w="3249"/>
          </w:tcPr>
          <w:p>
            <w:r>
              <w:t>Explicar cómo se distinguirían señales débiles de ruido instrumental.</w:t>
            </w:r>
          </w:p>
        </w:tc>
      </w:tr>
      <w:tr>
        <w:tc>
          <w:tcPr>
            <w:tcW w:type="dxa" w:w="3249"/>
          </w:tcPr>
          <w:p>
            <w:r>
              <w:t>Estabilidad de canal</w:t>
            </w:r>
          </w:p>
        </w:tc>
        <w:tc>
          <w:tcPr>
            <w:tcW w:type="dxa" w:w="3249"/>
          </w:tcPr>
          <w:p>
            <w:r>
              <w:t>Doppler, tiempo de coherencia y comparación con timeslot GSM</w:t>
            </w:r>
          </w:p>
        </w:tc>
        <w:tc>
          <w:tcPr>
            <w:tcW w:type="dxa" w:w="3249"/>
          </w:tcPr>
          <w:p>
            <w:r>
              <w:t>Defender si el enlace es viable durante la ráfaga en movilidad.</w:t>
            </w:r>
          </w:p>
        </w:tc>
      </w:tr>
      <w:tr>
        <w:tc>
          <w:tcPr>
            <w:tcW w:type="dxa" w:w="3249"/>
          </w:tcPr>
          <w:p>
            <w:r>
              <w:t>Documentación técnica</w:t>
            </w:r>
          </w:p>
        </w:tc>
        <w:tc>
          <w:tcPr>
            <w:tcW w:type="dxa" w:w="3249"/>
          </w:tcPr>
          <w:p>
            <w:r>
              <w:t>tablas, gráficas, hipótesis y trazabilidad de cálculos</w:t>
            </w:r>
          </w:p>
        </w:tc>
        <w:tc>
          <w:tcPr>
            <w:tcW w:type="dxa" w:w="3249"/>
          </w:tcPr>
          <w:p>
            <w:r>
              <w:t>Incluir ecuaciones, unidades y discusión ingenieril.</w:t>
            </w:r>
          </w:p>
        </w:tc>
      </w:tr>
    </w:tbl>
    <w:p>
      <w:pPr>
        <w:pStyle w:val="Heading2"/>
      </w:pPr>
      <w:r>
        <w:t>6.7 Figuras recomendadas para el informe</w:t>
      </w:r>
    </w:p>
    <w:p>
      <w:r>
        <w:drawing>
          <wp:inline xmlns:a="http://schemas.openxmlformats.org/drawingml/2006/main" xmlns:pic="http://schemas.openxmlformats.org/drawingml/2006/picture">
            <wp:extent cx="5940000" cy="339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_a_doppl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Doppler máximo frente a velocidad</w:t>
      </w:r>
    </w:p>
    <w:p>
      <w:r>
        <w:drawing>
          <wp:inline xmlns:a="http://schemas.openxmlformats.org/drawingml/2006/main" xmlns:pic="http://schemas.openxmlformats.org/drawingml/2006/picture">
            <wp:extent cx="5940000" cy="339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_a_coherencia_vs_times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2. Coherencia frente al timeslot GSM</w:t>
      </w:r>
    </w:p>
    <w:p>
      <w:r>
        <w:drawing>
          <wp:inline xmlns:a="http://schemas.openxmlformats.org/drawingml/2006/main" xmlns:pic="http://schemas.openxmlformats.org/drawingml/2006/picture">
            <wp:extent cx="594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_b_reutiliz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3. Reutilización celular en el campamento base</w:t>
      </w:r>
    </w:p>
    <w:p>
      <w:r>
        <w:drawing>
          <wp:inline xmlns:a="http://schemas.openxmlformats.org/drawingml/2006/main" xmlns:pic="http://schemas.openxmlformats.org/drawingml/2006/picture">
            <wp:extent cx="5940000" cy="519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_b_cluster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19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4. Mapa de clúster y patrón de reutilización</w:t>
      </w:r>
    </w:p>
    <w:p>
      <w:r>
        <w:drawing>
          <wp:inline xmlns:a="http://schemas.openxmlformats.org/drawingml/2006/main" xmlns:pic="http://schemas.openxmlformats.org/drawingml/2006/picture">
            <wp:extent cx="5940000" cy="31114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_b_distribucion_portador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5. Distribución de portadoras por celda</w:t>
      </w:r>
    </w:p>
    <w:p>
      <w:r>
        <w:drawing>
          <wp:inline xmlns:a="http://schemas.openxmlformats.org/drawingml/2006/main" xmlns:pic="http://schemas.openxmlformats.org/drawingml/2006/picture">
            <wp:extent cx="5940000" cy="3054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_b_spectru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54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6. Huella espectral aproximada del despliegue</w:t>
      </w:r>
    </w:p>
    <w:p>
      <w:r>
        <w:drawing>
          <wp:inline xmlns:a="http://schemas.openxmlformats.org/drawingml/2006/main" xmlns:pic="http://schemas.openxmlformats.org/drawingml/2006/picture">
            <wp:extent cx="5940000" cy="33942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cion_rbw_rui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7. Ruido instrumental frente a RBW</w:t>
      </w:r>
    </w:p>
    <w:p>
      <w:pPr>
        <w:pStyle w:val="Heading1"/>
      </w:pPr>
      <w:r>
        <w:t>7. Discusión y conclusiones</w:t>
      </w:r>
    </w:p>
    <w:p>
      <w:pPr>
        <w:pStyle w:val="Heading2"/>
      </w:pPr>
      <w:r>
        <w:t>7.1 Discusión</w:t>
      </w:r>
    </w:p>
    <w:p>
      <w:r>
        <w:t xml:space="preserve">En el escenario A, el peor caso temporal sigue siendo </w:t>
      </w:r>
      <w:r>
        <w:rPr>
          <w:b/>
        </w:rPr>
        <w:t>estable_con_margen_reducido</w:t>
      </w:r>
      <w:r>
        <w:t xml:space="preserve">, mientras que el mejor caso alcanza </w:t>
      </w:r>
      <w:r>
        <w:rPr>
          <w:b/>
        </w:rPr>
        <w:t>cuasiestatico</w:t>
      </w:r>
      <w:r>
        <w:t>. Esto sugiere que la red puede operar con márgenes razonables en movilidad, siempre que el diseño conserve codificación robusta, control de potencia y suficiente sensibilidad radio. En el escenario B, el reparto de 6 portadoras por celda y la distancia de protección de 5.1962 km ofrecen una configuración coherente con un despliegue disciplinado. La existencia de 4 portadoras BCCH dedicadas refuerza la accesibilidad de la red a costa de reducir ligeramente el tráfico bruto disponible. Desde el punto de vista de certificación, la interpretación correcta de la RBW evita errores frecuentes: reducir ruido mostrado no significa aumentar potencia real. Ese matiz es crucial para no sobreestimar el comportamiento de emisiones espurias o señales débiles.</w:t>
      </w:r>
    </w:p>
    <w:p>
      <w:pPr>
        <w:pStyle w:val="Heading2"/>
      </w:pPr>
      <w:r>
        <w:t>7.2 Conclusiones</w:t>
      </w:r>
    </w:p>
    <w:p>
      <w:pPr>
        <w:pStyle w:val="ListNumber"/>
      </w:pPr>
      <w:r>
        <w:t>GSM/EDGE sigue siendo una referencia válida para entornos tácticos donde priman robustez, interoperabilidad y sencillez operativa.</w:t>
      </w:r>
    </w:p>
    <w:p>
      <w:pPr>
        <w:pStyle w:val="ListNumber"/>
      </w:pPr>
      <w:r>
        <w:t>La movilidad analizada no invalida el enlace intra-ráfaga; el impacto de Doppler es apreciable pero gestionable con diseño conservador.</w:t>
      </w:r>
    </w:p>
    <w:p>
      <w:pPr>
        <w:pStyle w:val="ListNumber"/>
      </w:pPr>
      <w:r>
        <w:t>El clúster N=4 proporciona un equilibrio razonable entre capacidad y protección co-canal en el campamento base.</w:t>
      </w:r>
    </w:p>
    <w:p>
      <w:pPr>
        <w:pStyle w:val="ListNumber"/>
      </w:pPr>
      <w:r>
        <w:t>BCCH debe mantenerse estable y fácilmente detectable; TCH puede optimizarse con mayor flexibilidad operativa.</w:t>
      </w:r>
    </w:p>
    <w:p>
      <w:pPr>
        <w:pStyle w:val="ListNumber"/>
      </w:pPr>
      <w:r>
        <w:t>La configuración del analizador de espectro forma parte del diseño ingenieril porque condiciona la lectura correcta de conformidad y emisiones no deseadas.</w:t>
      </w:r>
    </w:p>
    <w:p>
      <w:pPr>
        <w:pStyle w:val="Heading1"/>
      </w:pPr>
      <w:r>
        <w:t>8. Limitaciones y trabajo futuro</w:t>
      </w:r>
    </w:p>
    <w:p>
      <w:pPr>
        <w:pStyle w:val="ListBullet"/>
      </w:pPr>
      <w:r>
        <w:t>El modelo de fading empleado es docente y no sustituye a una simulación completa tipo Jakes o a medidas de campo.</w:t>
      </w:r>
    </w:p>
    <w:p>
      <w:pPr>
        <w:pStyle w:val="ListBullet"/>
      </w:pPr>
      <w:r>
        <w:t>La asignación de ARFCNs es consecutiva y no incorpora coordinación real basada en campañas de medida.</w:t>
      </w:r>
    </w:p>
    <w:p>
      <w:pPr>
        <w:pStyle w:val="ListBullet"/>
      </w:pPr>
      <w:r>
        <w:t>La capacidad de tráfico se resume de forma pedagógica y no modela todos los canales lógicos de control de una red comercial completa.</w:t>
      </w:r>
    </w:p>
    <w:p>
      <w:pPr>
        <w:pStyle w:val="ListBullet"/>
      </w:pPr>
      <w:r>
        <w:t>Como trabajo futuro, puede ampliarse el proyecto con balance de enlace, C/I estimada y comparación con tecnologías más modernas de misión crítica.</w:t>
      </w:r>
    </w:p>
    <w:p>
      <w:pPr>
        <w:pStyle w:val="Heading1"/>
      </w:pPr>
      <w:r>
        <w:t>9. Referencias</w:t>
      </w:r>
    </w:p>
    <w:p>
      <w:r>
        <w:t xml:space="preserve">[1] 3GPP TS 45.002, </w:t>
      </w:r>
      <w:r>
        <w:rPr>
          <w:i/>
        </w:rPr>
        <w:t>Multiplexing and multiple access on the radio path</w:t>
      </w:r>
      <w:r>
        <w:t xml:space="preserve">. [2] 3GPP TS 45.001, </w:t>
      </w:r>
      <w:r>
        <w:rPr>
          <w:i/>
        </w:rPr>
        <w:t>Physical layer on the radio path; General description</w:t>
      </w:r>
      <w:r>
        <w:t xml:space="preserve">. [3] T. S. Rappaport, </w:t>
      </w:r>
      <w:r>
        <w:rPr>
          <w:i/>
        </w:rPr>
        <w:t>Wireless Communications: Principles and Practice</w:t>
      </w:r>
      <w:r>
        <w:t xml:space="preserve">, 2nd ed. Prentice Hall, 2002. [4] B. Sklar, </w:t>
      </w:r>
      <w:r>
        <w:rPr>
          <w:i/>
        </w:rPr>
        <w:t>Digital Communications: Fundamentals and Applications</w:t>
      </w:r>
      <w:r>
        <w:t>, 2nd ed. Prentice Hall, 2001. [5] Directive 2014/53/EU of the European Parliament and of the Council of 16 April 2014 on radio equipment (RED).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