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Operacion Nexo 5G/6G - Anexo de calculos</w:t>
      </w:r>
    </w:p>
    <w:p/>
    <w:p>
      <w:pPr>
        <w:pStyle w:val="Heading1"/>
      </w:pPr>
      <w:r>
        <w:t>Escenario A - Distrito financiero</w:t>
      </w:r>
    </w:p>
    <w:p/>
    <w:p>
      <w:r>
        <w:t>1. Ruido termico: N = -93.990 dBm.</w:t>
      </w:r>
    </w:p>
    <w:p>
      <w:r>
        <w:t>2. Sensibilidad: Sens = -76.990 dBm.</w:t>
      </w:r>
    </w:p>
    <w:p>
      <w:r>
        <w:t>3. Perdida maxima: Lmax = 125.990 dB.</w:t>
      </w:r>
    </w:p>
    <w:p>
      <w:r>
        <w:t>4. Radio por cobertura: Rcov = 0.553 km.</w:t>
      </w:r>
    </w:p>
    <w:p>
      <w:r>
        <w:t>5. Trafico por usuario: Auser = 0.100 Erl.</w:t>
      </w:r>
    </w:p>
    <w:p>
      <w:r>
        <w:t>6. Densidad de trafico: Akm2 = 250.000 Erl/km2.</w:t>
      </w:r>
    </w:p>
    <w:p>
      <w:r>
        <w:t>7. Recomendacion final: N = 4 con Rdesign = 0.129 km.</w:t>
      </w:r>
    </w:p>
    <w:p/>
    <w:p>
      <w:pPr>
        <w:pStyle w:val="Heading1"/>
      </w:pPr>
      <w:r>
        <w:t>Escenario B - Festival global</w:t>
      </w:r>
    </w:p>
    <w:p/>
    <w:p>
      <w:r>
        <w:t>1. Ruido termico: N = -93.990 dBm.</w:t>
      </w:r>
    </w:p>
    <w:p>
      <w:r>
        <w:t>2. Sensibilidad: Sens = -86.990 dBm.</w:t>
      </w:r>
    </w:p>
    <w:p>
      <w:r>
        <w:t>3. Perdida maxima: Lmax = 135.990 dB.</w:t>
      </w:r>
    </w:p>
    <w:p>
      <w:r>
        <w:t>4. Radio por cobertura: Rcov = 3.412 km.</w:t>
      </w:r>
    </w:p>
    <w:p>
      <w:r>
        <w:t>5. Radio por capacidad: Rcap = 0.225 km.</w:t>
      </w:r>
    </w:p>
    <w:p>
      <w:r>
        <w:t>6. Etapa de splitting recomendada: S4 con R = 0.213 km.</w:t>
      </w:r>
    </w:p>
    <w:p/>
    <w:p>
      <w:pPr>
        <w:pStyle w:val="Heading1"/>
      </w:pPr>
      <w:r>
        <w:t>Supuestos aplicados</w:t>
      </w:r>
    </w:p>
    <w:p/>
    <w:p>
      <w:r>
        <w:t>| assumption | applied_value | justification |</w:t>
      </w:r>
    </w:p>
    <w:p>
      <w:r>
        <w:t>| --- | --- | --- |</w:t>
      </w:r>
    </w:p>
    <w:p>
      <w:r>
        <w:t>| Reference target area | 1 km2 for both scenarios | The statement asks for the number of cells over a proposed target area but does not provide a fixed value. A common normalized 1 km2 area is assumed to compare cell density without bias. |</w:t>
      </w:r>
    </w:p>
    <w:p>
      <w:r>
        <w:t>| Channel partition in scenario A | floor(100 / N) channels per site, then uniform split across 3 sectors | The statement requests N = 3, 4, 7 and three sectors per site, but it does not define a more detailed PRB scheduler. The uniform split is the simplest reproducible assumption. |</w:t>
      </w:r>
    </w:p>
    <w:p>
      <w:r>
        <w:t>| Interference approximation | 2 first-tier interferers for sectorized cells and 6 for omnidirectional reference | This is the standard first-tier hexagonal approximation used to compare reuse strategies in teaching-oriented planning exercises. |</w:t>
      </w:r>
    </w:p>
    <w:p>
      <w:r>
        <w:t>| Hexagonal geometry | Regular hexagonal cell area model | Needed to convert traffic-limited area into an equivalent cell radius and then into the number of required sites. |</w:t>
      </w:r>
    </w:p>
    <w:p>
      <w:r>
        <w:t>| Modern radio context | OFDMA/LTE/5G design logic with adaptive MCS | The statement explicitly asks for a modern mobile-network framing even though the numerical exercise is simplified to link budget and Erlang B.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