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Operacion Nexo 5G/6G - Guion de defensa</w:t>
      </w:r>
    </w:p>
    <w:p/>
    <w:p>
      <w:pPr>
        <w:pStyle w:val="ListBullet"/>
      </w:pPr>
      <w:r>
        <w:t>El reto separa de forma explicita cobertura y capacidad.</w:t>
      </w:r>
    </w:p>
    <w:p>
      <w:pPr>
        <w:pStyle w:val="ListBullet"/>
      </w:pPr>
      <w:r>
        <w:t>En el distrito financiero la recomendacion es N=4 con tres sectores por sitio.</w:t>
      </w:r>
    </w:p>
    <w:p>
      <w:pPr>
        <w:pStyle w:val="ListBullet"/>
      </w:pPr>
      <w:r>
        <w:t>En el festival la cobertura no es el problema; la solucion es splitting hasta S4.</w:t>
      </w:r>
    </w:p>
    <w:p>
      <w:pPr>
        <w:pStyle w:val="ListBullet"/>
      </w:pPr>
      <w:r>
        <w:t>El criterio final siempre adopta el radio mas restrictivo.</w:t>
      </w:r>
    </w:p>
    <w:p>
      <w:pPr>
        <w:pStyle w:val="ListBullet"/>
      </w:pPr>
      <w:r>
        <w:t>Todos los resultados estan trazados en tablas, graficas y supuestos declarados.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