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line="360"/>
        <w:jc w:val="center"/>
      </w:pPr>
      <w:r>
        <w:rPr>
          <w:rFonts w:ascii="Times New Roman" w:cs="Times New Roman" w:eastAsia="Times New Roman" w:hAnsi="Times New Roman"/>
          <w:b/>
          <w:bCs/>
          <w:sz w:val="26"/>
          <w:szCs w:val="26"/>
        </w:rPr>
        <w:t xml:space="preserve">HONORABLE CÁMARA DE DIPUTADOS DE LA NACIÓN</w:t>
      </w:r>
    </w:p>
    <w:p>
      <w:pPr>
        <w:spacing w:after="260" w:before="0" w:line="360"/>
        <w:jc w:val="center"/>
      </w:pPr>
      <w:r>
        <w:rPr>
          <w:rFonts w:ascii="Times New Roman" w:cs="Times New Roman" w:eastAsia="Times New Roman" w:hAnsi="Times New Roman"/>
          <w:sz w:val="22"/>
          <w:szCs w:val="22"/>
        </w:rPr>
        <w:t xml:space="preserve">Mesa de Entradas</w:t>
      </w:r>
    </w:p>
    <w:tbl>
      <w:tblPr>
        <w:tblW w:type="dxa" w:w="8787"/>
        <w:tblBorders>
          <w:top w:val="single" w:color="555555" w:sz="6"/>
          <w:left w:val="single" w:color="555555" w:sz="6"/>
          <w:bottom w:val="single" w:color="555555" w:sz="6"/>
          <w:right w:val="single" w:color="555555" w:sz="6"/>
          <w:insideH w:val="single" w:color="999999" w:sz="4"/>
          <w:insideV w:val="single" w:color="auto" w:sz="4"/>
        </w:tblBorders>
      </w:tblPr>
      <w:tblGrid>
        <w:gridCol w:w="8787"/>
      </w:tblGrid>
      <w:tr>
        <w:tc>
          <w:tcPr>
            <w:tcW w:type="dxa" w:w="8787"/>
            <w:tcMar>
              <w:top w:type="dxa" w:w="90"/>
              <w:left w:type="dxa" w:w="140"/>
              <w:bottom w:type="dxa" w:w="90"/>
              <w:right w:type="dxa" w:w="140"/>
            </w:tcMar>
          </w:tcPr>
          <w:p>
            <w:pPr>
              <w:spacing w:after="0" w:line="300"/>
            </w:pPr>
            <w:r>
              <w:rPr>
                <w:rFonts w:ascii="Times New Roman" w:cs="Times New Roman" w:eastAsia="Times New Roman" w:hAnsi="Times New Roman"/>
                <w:b/>
                <w:bCs/>
                <w:sz w:val="22"/>
                <w:szCs w:val="22"/>
              </w:rPr>
              <w:t xml:space="preserve">Expediente N°:  </w:t>
            </w:r>
            <w:r>
              <w:rPr>
                <w:rFonts w:ascii="Times New Roman" w:cs="Times New Roman" w:eastAsia="Times New Roman" w:hAnsi="Times New Roman"/>
                <w:sz w:val="22"/>
                <w:szCs w:val="22"/>
              </w:rPr>
              <w:t xml:space="preserve">________ - D - 2026</w:t>
            </w:r>
          </w:p>
        </w:tc>
      </w:tr>
      <w:tr>
        <w:tc>
          <w:tcPr>
            <w:tcW w:type="dxa" w:w="8787"/>
            <w:tcMar>
              <w:top w:type="dxa" w:w="90"/>
              <w:left w:type="dxa" w:w="140"/>
              <w:bottom w:type="dxa" w:w="90"/>
              <w:right w:type="dxa" w:w="140"/>
            </w:tcMar>
          </w:tcPr>
          <w:p>
            <w:pPr>
              <w:spacing w:after="0" w:line="300"/>
            </w:pPr>
            <w:r>
              <w:rPr>
                <w:rFonts w:ascii="Times New Roman" w:cs="Times New Roman" w:eastAsia="Times New Roman" w:hAnsi="Times New Roman"/>
                <w:b/>
                <w:bCs/>
                <w:sz w:val="22"/>
                <w:szCs w:val="22"/>
              </w:rPr>
              <w:t xml:space="preserve">Trámite Parlamentario N°:  </w:t>
            </w:r>
            <w:r>
              <w:rPr>
                <w:rFonts w:ascii="Times New Roman" w:cs="Times New Roman" w:eastAsia="Times New Roman" w:hAnsi="Times New Roman"/>
                <w:sz w:val="22"/>
                <w:szCs w:val="22"/>
              </w:rPr>
              <w:t xml:space="preserve">________  (fecha de ingreso: __ / __ / 2026)</w:t>
            </w:r>
          </w:p>
        </w:tc>
      </w:tr>
      <w:tr>
        <w:tc>
          <w:tcPr>
            <w:tcW w:type="dxa" w:w="8787"/>
            <w:tcMar>
              <w:top w:type="dxa" w:w="90"/>
              <w:left w:type="dxa" w:w="140"/>
              <w:bottom w:type="dxa" w:w="90"/>
              <w:right w:type="dxa" w:w="140"/>
            </w:tcMar>
          </w:tcPr>
          <w:p>
            <w:pPr>
              <w:spacing w:after="0" w:line="300"/>
            </w:pPr>
            <w:r>
              <w:rPr>
                <w:rFonts w:ascii="Times New Roman" w:cs="Times New Roman" w:eastAsia="Times New Roman" w:hAnsi="Times New Roman"/>
                <w:b/>
                <w:bCs/>
                <w:sz w:val="22"/>
                <w:szCs w:val="22"/>
              </w:rPr>
              <w:t xml:space="preserve">Carácter:  </w:t>
            </w:r>
            <w:r>
              <w:rPr>
                <w:rFonts w:ascii="Times New Roman" w:cs="Times New Roman" w:eastAsia="Times New Roman" w:hAnsi="Times New Roman"/>
                <w:sz w:val="22"/>
                <w:szCs w:val="22"/>
              </w:rPr>
              <w:t xml:space="preserve">Proyecto de Ley</w:t>
            </w:r>
          </w:p>
        </w:tc>
      </w:tr>
    </w:tbl>
    <w:p>
      <w:pPr>
        <w:spacing w:after="120"/>
      </w:pPr>
      <w:r>
        <w:rPr>
          <w:rFonts w:ascii="Times New Roman" w:cs="Times New Roman" w:eastAsia="Times New Roman" w:hAnsi="Times New Roman"/>
        </w:rPr>
        <w:t xml:space="preserve"/>
      </w:r>
    </w:p>
    <w:p>
      <w:pPr>
        <w:spacing w:after="120" w:line="320"/>
        <w:jc w:val="both"/>
      </w:pPr>
      <w:r>
        <w:rPr>
          <w:rFonts w:ascii="Times New Roman" w:cs="Times New Roman" w:eastAsia="Times New Roman" w:hAnsi="Times New Roman"/>
          <w:b/>
          <w:bCs/>
          <w:sz w:val="22"/>
          <w:szCs w:val="22"/>
        </w:rPr>
        <w:t xml:space="preserve">Sumario:  </w:t>
      </w:r>
      <w:r>
        <w:rPr>
          <w:rFonts w:ascii="Times New Roman" w:cs="Times New Roman" w:eastAsia="Times New Roman" w:hAnsi="Times New Roman"/>
          <w:sz w:val="22"/>
          <w:szCs w:val="22"/>
        </w:rPr>
        <w:t xml:space="preserve">Régimen de Protección Financiera de los Hogares, Crédito Responsable y Segunda Oportunidad. Prevención del sobreendeudamiento, crédito responsable, reestructuración integral de deudas, segunda oportunidad de la persona humana y régimen transitorio para deudas desde el 1° de enero de 2023.</w:t>
      </w:r>
    </w:p>
    <w:p>
      <w:pPr>
        <w:spacing w:after="40" w:line="320"/>
        <w:jc w:val="both"/>
      </w:pPr>
      <w:r>
        <w:rPr>
          <w:rFonts w:ascii="Times New Roman" w:cs="Times New Roman" w:eastAsia="Times New Roman" w:hAnsi="Times New Roman"/>
          <w:b/>
          <w:bCs/>
          <w:sz w:val="22"/>
          <w:szCs w:val="22"/>
        </w:rPr>
        <w:t xml:space="preserve">Firmante:  </w:t>
      </w:r>
      <w:r>
        <w:rPr>
          <w:rFonts w:ascii="Times New Roman" w:cs="Times New Roman" w:eastAsia="Times New Roman" w:hAnsi="Times New Roman"/>
          <w:sz w:val="22"/>
          <w:szCs w:val="22"/>
        </w:rPr>
        <w:t xml:space="preserve">[Nombre y Apellido] — Diputado/a de la Nación — [Bloque parlamentario]</w:t>
      </w:r>
    </w:p>
    <w:p>
      <w:pPr>
        <w:spacing w:after="120" w:line="320"/>
        <w:jc w:val="both"/>
      </w:pPr>
      <w:r>
        <w:rPr>
          <w:rFonts w:ascii="Times New Roman" w:cs="Times New Roman" w:eastAsia="Times New Roman" w:hAnsi="Times New Roman"/>
          <w:b/>
          <w:bCs/>
          <w:sz w:val="22"/>
          <w:szCs w:val="22"/>
        </w:rPr>
        <w:t xml:space="preserve">Cofirmantes:  </w:t>
      </w:r>
      <w:r>
        <w:rPr>
          <w:rFonts w:ascii="Times New Roman" w:cs="Times New Roman" w:eastAsia="Times New Roman" w:hAnsi="Times New Roman"/>
          <w:sz w:val="22"/>
          <w:szCs w:val="22"/>
        </w:rPr>
        <w:t xml:space="preserve">_______________________________________________________________</w:t>
      </w:r>
    </w:p>
    <w:p>
      <w:pPr>
        <w:spacing w:after="60" w:before="160"/>
      </w:pPr>
      <w:r>
        <w:rPr>
          <w:rFonts w:ascii="Times New Roman" w:cs="Times New Roman" w:eastAsia="Times New Roman" w:hAnsi="Times New Roman"/>
          <w:b/>
          <w:bCs/>
          <w:sz w:val="22"/>
          <w:szCs w:val="22"/>
        </w:rPr>
        <w:t xml:space="preserve">Giro a las siguientes comisiones (sugerido):</w:t>
      </w:r>
    </w:p>
    <w:p>
      <w:pPr>
        <w:spacing w:after="40" w:line="300"/>
        <w:ind w:left="709" w:hanging="340"/>
      </w:pPr>
      <w:r>
        <w:rPr>
          <w:rFonts w:ascii="Times New Roman" w:cs="Times New Roman" w:eastAsia="Times New Roman" w:hAnsi="Times New Roman"/>
          <w:sz w:val="22"/>
          <w:szCs w:val="22"/>
        </w:rPr>
        <w:t xml:space="preserve">1)  Defensa del Consumidor, del Usuario y de la Competencia</w:t>
      </w:r>
    </w:p>
    <w:p>
      <w:pPr>
        <w:spacing w:after="40" w:line="300"/>
        <w:ind w:left="709" w:hanging="340"/>
      </w:pPr>
      <w:r>
        <w:rPr>
          <w:rFonts w:ascii="Times New Roman" w:cs="Times New Roman" w:eastAsia="Times New Roman" w:hAnsi="Times New Roman"/>
          <w:sz w:val="22"/>
          <w:szCs w:val="22"/>
        </w:rPr>
        <w:t xml:space="preserve">2)  Finanzas</w:t>
      </w:r>
    </w:p>
    <w:p>
      <w:pPr>
        <w:spacing w:after="40" w:line="300"/>
        <w:ind w:left="709" w:hanging="340"/>
      </w:pPr>
      <w:r>
        <w:rPr>
          <w:rFonts w:ascii="Times New Roman" w:cs="Times New Roman" w:eastAsia="Times New Roman" w:hAnsi="Times New Roman"/>
          <w:sz w:val="22"/>
          <w:szCs w:val="22"/>
        </w:rPr>
        <w:t xml:space="preserve">3)  Legislación General</w:t>
      </w:r>
    </w:p>
    <w:p>
      <w:pPr>
        <w:spacing w:after="40" w:line="300"/>
        <w:ind w:left="709" w:hanging="340"/>
      </w:pPr>
      <w:r>
        <w:rPr>
          <w:rFonts w:ascii="Times New Roman" w:cs="Times New Roman" w:eastAsia="Times New Roman" w:hAnsi="Times New Roman"/>
          <w:sz w:val="22"/>
          <w:szCs w:val="22"/>
        </w:rPr>
        <w:t xml:space="preserve">4)  Justicia</w:t>
      </w:r>
    </w:p>
    <w:p>
      <w:pPr>
        <w:spacing w:after="40" w:line="300"/>
        <w:ind w:left="709" w:hanging="340"/>
      </w:pPr>
      <w:r>
        <w:rPr>
          <w:rFonts w:ascii="Times New Roman" w:cs="Times New Roman" w:eastAsia="Times New Roman" w:hAnsi="Times New Roman"/>
          <w:sz w:val="22"/>
          <w:szCs w:val="22"/>
        </w:rPr>
        <w:t xml:space="preserve">5)  Presupuesto y Hacienda</w:t>
      </w:r>
    </w:p>
    <w:p>
      <w:pPr>
        <w:pageBreakBefore/>
        <w:spacing w:after="240" w:before="120"/>
        <w:jc w:val="center"/>
      </w:pPr>
      <w:r>
        <w:rPr>
          <w:rFonts w:ascii="Times New Roman" w:cs="Times New Roman" w:eastAsia="Times New Roman" w:hAnsi="Times New Roman"/>
          <w:b/>
          <w:bCs/>
          <w:sz w:val="32"/>
          <w:szCs w:val="32"/>
        </w:rPr>
        <w:t xml:space="preserve">PROYECTO DE LEY</w:t>
      </w:r>
    </w:p>
    <w:p>
      <w:pPr>
        <w:spacing w:after="300" w:before="0" w:line="360"/>
        <w:jc w:val="center"/>
      </w:pPr>
      <w:r>
        <w:rPr>
          <w:rFonts w:ascii="Times New Roman" w:cs="Times New Roman" w:eastAsia="Times New Roman" w:hAnsi="Times New Roman"/>
          <w:b/>
          <w:bCs/>
          <w:caps/>
          <w:sz w:val="26"/>
          <w:szCs w:val="26"/>
        </w:rPr>
        <w:t xml:space="preserve">Régimen de Protección Financiera de los Hogares, Crédito Responsable y Segunda Oportunidad</w:t>
      </w:r>
    </w:p>
    <w:p>
      <w:pPr>
        <w:spacing w:after="140" w:before="0" w:line="360"/>
        <w:jc w:val="center"/>
      </w:pPr>
      <w:r>
        <w:rPr>
          <w:rFonts w:ascii="Times New Roman" w:cs="Times New Roman" w:eastAsia="Times New Roman" w:hAnsi="Times New Roman"/>
          <w:b/>
          <w:bCs/>
          <w:sz w:val="24"/>
          <w:szCs w:val="24"/>
        </w:rPr>
        <w:t xml:space="preserve">SUMARIO</w:t>
      </w:r>
    </w:p>
    <w:p>
      <w:pPr>
        <w:spacing w:after="40" w:before="140" w:line="300"/>
      </w:pPr>
      <w:r>
        <w:rPr>
          <w:rFonts w:ascii="Times New Roman" w:cs="Times New Roman" w:eastAsia="Times New Roman" w:hAnsi="Times New Roman"/>
          <w:b/>
          <w:bCs/>
          <w:sz w:val="22"/>
          <w:szCs w:val="22"/>
        </w:rPr>
        <w:t xml:space="preserve">TÍTULO I — DISPOSICIONES GENERALES</w:t>
      </w:r>
    </w:p>
    <w:p>
      <w:pPr>
        <w:spacing w:after="20" w:line="288"/>
        <w:ind w:left="360"/>
      </w:pPr>
      <w:r>
        <w:rPr>
          <w:rFonts w:ascii="Times New Roman" w:cs="Times New Roman" w:eastAsia="Times New Roman" w:hAnsi="Times New Roman"/>
          <w:sz w:val="20"/>
          <w:szCs w:val="20"/>
        </w:rPr>
        <w:t xml:space="preserve">Art. 1° — Objeto</w:t>
      </w:r>
    </w:p>
    <w:p>
      <w:pPr>
        <w:spacing w:after="20" w:line="288"/>
        <w:ind w:left="360"/>
      </w:pPr>
      <w:r>
        <w:rPr>
          <w:rFonts w:ascii="Times New Roman" w:cs="Times New Roman" w:eastAsia="Times New Roman" w:hAnsi="Times New Roman"/>
          <w:sz w:val="20"/>
          <w:szCs w:val="20"/>
        </w:rPr>
        <w:t xml:space="preserve">Art. 2° — Ámbito de aplicación</w:t>
      </w:r>
    </w:p>
    <w:p>
      <w:pPr>
        <w:spacing w:after="20" w:line="288"/>
        <w:ind w:left="360"/>
      </w:pPr>
      <w:r>
        <w:rPr>
          <w:rFonts w:ascii="Times New Roman" w:cs="Times New Roman" w:eastAsia="Times New Roman" w:hAnsi="Times New Roman"/>
          <w:sz w:val="20"/>
          <w:szCs w:val="20"/>
        </w:rPr>
        <w:t xml:space="preserve">Art. 3° — Definiciones</w:t>
      </w:r>
    </w:p>
    <w:p>
      <w:pPr>
        <w:spacing w:after="20" w:line="288"/>
        <w:ind w:left="360"/>
      </w:pPr>
      <w:r>
        <w:rPr>
          <w:rFonts w:ascii="Times New Roman" w:cs="Times New Roman" w:eastAsia="Times New Roman" w:hAnsi="Times New Roman"/>
          <w:sz w:val="20"/>
          <w:szCs w:val="20"/>
        </w:rPr>
        <w:t xml:space="preserve">Art. 4° — Principios</w:t>
      </w:r>
    </w:p>
    <w:p>
      <w:pPr>
        <w:spacing w:after="20" w:line="288"/>
        <w:ind w:left="360"/>
      </w:pPr>
      <w:r>
        <w:rPr>
          <w:rFonts w:ascii="Times New Roman" w:cs="Times New Roman" w:eastAsia="Times New Roman" w:hAnsi="Times New Roman"/>
          <w:sz w:val="20"/>
          <w:szCs w:val="20"/>
        </w:rPr>
        <w:t xml:space="preserve">Art. 5° — Buena fe</w:t>
      </w:r>
    </w:p>
    <w:p>
      <w:pPr>
        <w:spacing w:after="20" w:line="288"/>
        <w:ind w:left="360"/>
      </w:pPr>
      <w:r>
        <w:rPr>
          <w:rFonts w:ascii="Times New Roman" w:cs="Times New Roman" w:eastAsia="Times New Roman" w:hAnsi="Times New Roman"/>
          <w:sz w:val="20"/>
          <w:szCs w:val="20"/>
        </w:rPr>
        <w:t xml:space="preserve">Art. 6° — Perspectiva del hogar</w:t>
      </w:r>
    </w:p>
    <w:p>
      <w:pPr>
        <w:spacing w:after="20" w:line="288"/>
        <w:ind w:left="360"/>
      </w:pPr>
      <w:r>
        <w:rPr>
          <w:rFonts w:ascii="Times New Roman" w:cs="Times New Roman" w:eastAsia="Times New Roman" w:hAnsi="Times New Roman"/>
          <w:sz w:val="20"/>
          <w:szCs w:val="20"/>
        </w:rPr>
        <w:t xml:space="preserve">Art. 7° — Orden público</w:t>
      </w:r>
    </w:p>
    <w:p>
      <w:pPr>
        <w:spacing w:after="20" w:line="288"/>
        <w:ind w:left="360"/>
      </w:pPr>
      <w:r>
        <w:rPr>
          <w:rFonts w:ascii="Times New Roman" w:cs="Times New Roman" w:eastAsia="Times New Roman" w:hAnsi="Times New Roman"/>
          <w:sz w:val="20"/>
          <w:szCs w:val="20"/>
        </w:rPr>
        <w:t xml:space="preserve">Art. 8° — Integración normativa</w:t>
      </w:r>
    </w:p>
    <w:p>
      <w:pPr>
        <w:spacing w:after="40" w:before="140" w:line="300"/>
      </w:pPr>
      <w:r>
        <w:rPr>
          <w:rFonts w:ascii="Times New Roman" w:cs="Times New Roman" w:eastAsia="Times New Roman" w:hAnsi="Times New Roman"/>
          <w:b/>
          <w:bCs/>
          <w:sz w:val="22"/>
          <w:szCs w:val="22"/>
        </w:rPr>
        <w:t xml:space="preserve">TÍTULO II — CRÉDITO RESPONSABLE Y COSTO JUSTO</w:t>
      </w:r>
    </w:p>
    <w:p>
      <w:pPr>
        <w:spacing w:after="20" w:line="288"/>
        <w:ind w:left="360"/>
      </w:pPr>
      <w:r>
        <w:rPr>
          <w:rFonts w:ascii="Times New Roman" w:cs="Times New Roman" w:eastAsia="Times New Roman" w:hAnsi="Times New Roman"/>
          <w:sz w:val="20"/>
          <w:szCs w:val="20"/>
        </w:rPr>
        <w:t xml:space="preserve">Art. 9° — Evaluación previa de capacidad de pago</w:t>
      </w:r>
    </w:p>
    <w:p>
      <w:pPr>
        <w:spacing w:after="20" w:line="288"/>
        <w:ind w:left="360"/>
      </w:pPr>
      <w:r>
        <w:rPr>
          <w:rFonts w:ascii="Times New Roman" w:cs="Times New Roman" w:eastAsia="Times New Roman" w:hAnsi="Times New Roman"/>
          <w:sz w:val="20"/>
          <w:szCs w:val="20"/>
        </w:rPr>
        <w:t xml:space="preserve">Art. 10 — Inclusión y datos permitidos</w:t>
      </w:r>
    </w:p>
    <w:p>
      <w:pPr>
        <w:spacing w:after="20" w:line="288"/>
        <w:ind w:left="360"/>
      </w:pPr>
      <w:r>
        <w:rPr>
          <w:rFonts w:ascii="Times New Roman" w:cs="Times New Roman" w:eastAsia="Times New Roman" w:hAnsi="Times New Roman"/>
          <w:sz w:val="20"/>
          <w:szCs w:val="20"/>
        </w:rPr>
        <w:t xml:space="preserve">Art. 11 — Límites de asequibilidad al originar</w:t>
      </w:r>
    </w:p>
    <w:p>
      <w:pPr>
        <w:spacing w:after="20" w:line="288"/>
        <w:ind w:left="360"/>
      </w:pPr>
      <w:r>
        <w:rPr>
          <w:rFonts w:ascii="Times New Roman" w:cs="Times New Roman" w:eastAsia="Times New Roman" w:hAnsi="Times New Roman"/>
          <w:sz w:val="20"/>
          <w:szCs w:val="20"/>
        </w:rPr>
        <w:t xml:space="preserve">Art. 12 — Refinanciación beneficiosa</w:t>
      </w:r>
    </w:p>
    <w:p>
      <w:pPr>
        <w:spacing w:after="20" w:line="288"/>
        <w:ind w:left="360"/>
      </w:pPr>
      <w:r>
        <w:rPr>
          <w:rFonts w:ascii="Times New Roman" w:cs="Times New Roman" w:eastAsia="Times New Roman" w:hAnsi="Times New Roman"/>
          <w:sz w:val="20"/>
          <w:szCs w:val="20"/>
        </w:rPr>
        <w:t xml:space="preserve">Art. 13 — Documentación y carga de la prueba</w:t>
      </w:r>
    </w:p>
    <w:p>
      <w:pPr>
        <w:spacing w:after="20" w:line="288"/>
        <w:ind w:left="360"/>
      </w:pPr>
      <w:r>
        <w:rPr>
          <w:rFonts w:ascii="Times New Roman" w:cs="Times New Roman" w:eastAsia="Times New Roman" w:hAnsi="Times New Roman"/>
          <w:sz w:val="20"/>
          <w:szCs w:val="20"/>
        </w:rPr>
        <w:t xml:space="preserve">Art. 14 — Decisiones automatizadas</w:t>
      </w:r>
    </w:p>
    <w:p>
      <w:pPr>
        <w:spacing w:after="20" w:line="288"/>
        <w:ind w:left="360"/>
      </w:pPr>
      <w:r>
        <w:rPr>
          <w:rFonts w:ascii="Times New Roman" w:cs="Times New Roman" w:eastAsia="Times New Roman" w:hAnsi="Times New Roman"/>
          <w:sz w:val="20"/>
          <w:szCs w:val="20"/>
        </w:rPr>
        <w:t xml:space="preserve">Art. 15 — Ficha precontractual uniforme</w:t>
      </w:r>
    </w:p>
    <w:p>
      <w:pPr>
        <w:spacing w:after="20" w:line="288"/>
        <w:ind w:left="360"/>
      </w:pPr>
      <w:r>
        <w:rPr>
          <w:rFonts w:ascii="Times New Roman" w:cs="Times New Roman" w:eastAsia="Times New Roman" w:hAnsi="Times New Roman"/>
          <w:sz w:val="20"/>
          <w:szCs w:val="20"/>
        </w:rPr>
        <w:t xml:space="preserve">Art. 16 — Crédito no solicitado y reflexión</w:t>
      </w:r>
    </w:p>
    <w:p>
      <w:pPr>
        <w:spacing w:after="20" w:line="288"/>
        <w:ind w:left="360"/>
      </w:pPr>
      <w:r>
        <w:rPr>
          <w:rFonts w:ascii="Times New Roman" w:cs="Times New Roman" w:eastAsia="Times New Roman" w:hAnsi="Times New Roman"/>
          <w:sz w:val="20"/>
          <w:szCs w:val="20"/>
        </w:rPr>
        <w:t xml:space="preserve">Art. 17 — Referencia pública de costo</w:t>
      </w:r>
    </w:p>
    <w:p>
      <w:pPr>
        <w:spacing w:after="20" w:line="288"/>
        <w:ind w:left="360"/>
      </w:pPr>
      <w:r>
        <w:rPr>
          <w:rFonts w:ascii="Times New Roman" w:cs="Times New Roman" w:eastAsia="Times New Roman" w:hAnsi="Times New Roman"/>
          <w:sz w:val="20"/>
          <w:szCs w:val="20"/>
        </w:rPr>
        <w:t xml:space="preserve">Art. 18 — Límite máximo del costo</w:t>
      </w:r>
    </w:p>
    <w:p>
      <w:pPr>
        <w:spacing w:after="20" w:line="288"/>
        <w:ind w:left="360"/>
      </w:pPr>
      <w:r>
        <w:rPr>
          <w:rFonts w:ascii="Times New Roman" w:cs="Times New Roman" w:eastAsia="Times New Roman" w:hAnsi="Times New Roman"/>
          <w:sz w:val="20"/>
          <w:szCs w:val="20"/>
        </w:rPr>
        <w:t xml:space="preserve">Art. 19 — Tarjetas y crédito rotativo</w:t>
      </w:r>
    </w:p>
    <w:p>
      <w:pPr>
        <w:spacing w:after="20" w:line="288"/>
        <w:ind w:left="360"/>
      </w:pPr>
      <w:r>
        <w:rPr>
          <w:rFonts w:ascii="Times New Roman" w:cs="Times New Roman" w:eastAsia="Times New Roman" w:hAnsi="Times New Roman"/>
          <w:sz w:val="20"/>
          <w:szCs w:val="20"/>
        </w:rPr>
        <w:t xml:space="preserve">Art. 20 — Consecuencias del préstamo irresponsable</w:t>
      </w:r>
    </w:p>
    <w:p>
      <w:pPr>
        <w:spacing w:after="20" w:line="288"/>
        <w:ind w:left="360"/>
      </w:pPr>
      <w:r>
        <w:rPr>
          <w:rFonts w:ascii="Times New Roman" w:cs="Times New Roman" w:eastAsia="Times New Roman" w:hAnsi="Times New Roman"/>
          <w:sz w:val="20"/>
          <w:szCs w:val="20"/>
        </w:rPr>
        <w:t xml:space="preserve">Art. 21 — Asistencia temprana y portabilidad</w:t>
      </w:r>
    </w:p>
    <w:p>
      <w:pPr>
        <w:spacing w:after="40" w:before="140" w:line="300"/>
      </w:pPr>
      <w:r>
        <w:rPr>
          <w:rFonts w:ascii="Times New Roman" w:cs="Times New Roman" w:eastAsia="Times New Roman" w:hAnsi="Times New Roman"/>
          <w:b/>
          <w:bCs/>
          <w:sz w:val="22"/>
          <w:szCs w:val="22"/>
        </w:rPr>
        <w:t xml:space="preserve">TÍTULO III — MORA, COBRANZA Y DATOS CREDITICIOS</w:t>
      </w:r>
    </w:p>
    <w:p>
      <w:pPr>
        <w:spacing w:after="20" w:line="288"/>
        <w:ind w:left="360"/>
      </w:pPr>
      <w:r>
        <w:rPr>
          <w:rFonts w:ascii="Times New Roman" w:cs="Times New Roman" w:eastAsia="Times New Roman" w:hAnsi="Times New Roman"/>
          <w:sz w:val="20"/>
          <w:szCs w:val="20"/>
        </w:rPr>
        <w:t xml:space="preserve">Art. 22 — Estado detallado de deuda</w:t>
      </w:r>
    </w:p>
    <w:p>
      <w:pPr>
        <w:spacing w:after="20" w:line="288"/>
        <w:ind w:left="360"/>
      </w:pPr>
      <w:r>
        <w:rPr>
          <w:rFonts w:ascii="Times New Roman" w:cs="Times New Roman" w:eastAsia="Times New Roman" w:hAnsi="Times New Roman"/>
          <w:sz w:val="20"/>
          <w:szCs w:val="20"/>
        </w:rPr>
        <w:t xml:space="preserve">Art. 23 — Imputación y anatocismo</w:t>
      </w:r>
    </w:p>
    <w:p>
      <w:pPr>
        <w:spacing w:after="20" w:line="288"/>
        <w:ind w:left="360"/>
      </w:pPr>
      <w:r>
        <w:rPr>
          <w:rFonts w:ascii="Times New Roman" w:cs="Times New Roman" w:eastAsia="Times New Roman" w:hAnsi="Times New Roman"/>
          <w:sz w:val="20"/>
          <w:szCs w:val="20"/>
        </w:rPr>
        <w:t xml:space="preserve">Art. 24 — Cobranza digna</w:t>
      </w:r>
    </w:p>
    <w:p>
      <w:pPr>
        <w:spacing w:after="20" w:line="288"/>
        <w:ind w:left="360"/>
      </w:pPr>
      <w:r>
        <w:rPr>
          <w:rFonts w:ascii="Times New Roman" w:cs="Times New Roman" w:eastAsia="Times New Roman" w:hAnsi="Times New Roman"/>
          <w:sz w:val="20"/>
          <w:szCs w:val="20"/>
        </w:rPr>
        <w:t xml:space="preserve">Art. 25 — Deuda discutida</w:t>
      </w:r>
    </w:p>
    <w:p>
      <w:pPr>
        <w:spacing w:after="20" w:line="288"/>
        <w:ind w:left="360"/>
      </w:pPr>
      <w:r>
        <w:rPr>
          <w:rFonts w:ascii="Times New Roman" w:cs="Times New Roman" w:eastAsia="Times New Roman" w:hAnsi="Times New Roman"/>
          <w:sz w:val="20"/>
          <w:szCs w:val="20"/>
        </w:rPr>
        <w:t xml:space="preserve">Art. 26 — Cesión y cobranza tercerizada</w:t>
      </w:r>
    </w:p>
    <w:p>
      <w:pPr>
        <w:spacing w:after="20" w:line="288"/>
        <w:ind w:left="360"/>
      </w:pPr>
      <w:r>
        <w:rPr>
          <w:rFonts w:ascii="Times New Roman" w:cs="Times New Roman" w:eastAsia="Times New Roman" w:hAnsi="Times New Roman"/>
          <w:sz w:val="20"/>
          <w:szCs w:val="20"/>
        </w:rPr>
        <w:t xml:space="preserve">Art. 27 — Gastos e intereses de mora</w:t>
      </w:r>
    </w:p>
    <w:p>
      <w:pPr>
        <w:spacing w:after="20" w:line="288"/>
        <w:ind w:left="360"/>
      </w:pPr>
      <w:r>
        <w:rPr>
          <w:rFonts w:ascii="Times New Roman" w:cs="Times New Roman" w:eastAsia="Times New Roman" w:hAnsi="Times New Roman"/>
          <w:sz w:val="20"/>
          <w:szCs w:val="20"/>
        </w:rPr>
        <w:t xml:space="preserve">Art. 28 — Información crediticia durante una reestructuración</w:t>
      </w:r>
    </w:p>
    <w:p>
      <w:pPr>
        <w:spacing w:after="20" w:line="288"/>
        <w:ind w:left="360"/>
      </w:pPr>
      <w:r>
        <w:rPr>
          <w:rFonts w:ascii="Times New Roman" w:cs="Times New Roman" w:eastAsia="Times New Roman" w:hAnsi="Times New Roman"/>
          <w:sz w:val="20"/>
          <w:szCs w:val="20"/>
        </w:rPr>
        <w:t xml:space="preserve">Art. 29 — Servicios esenciales</w:t>
      </w:r>
    </w:p>
    <w:p>
      <w:pPr>
        <w:spacing w:after="40" w:before="140" w:line="300"/>
      </w:pPr>
      <w:r>
        <w:rPr>
          <w:rFonts w:ascii="Times New Roman" w:cs="Times New Roman" w:eastAsia="Times New Roman" w:hAnsi="Times New Roman"/>
          <w:b/>
          <w:bCs/>
          <w:sz w:val="22"/>
          <w:szCs w:val="22"/>
        </w:rPr>
        <w:t xml:space="preserve">TÍTULO IV — REESTRUCTURACIÓN ADMINISTRATIVA INTEGRAL</w:t>
      </w:r>
    </w:p>
    <w:p>
      <w:pPr>
        <w:spacing w:after="20" w:line="288"/>
        <w:ind w:left="360"/>
      </w:pPr>
      <w:r>
        <w:rPr>
          <w:rFonts w:ascii="Times New Roman" w:cs="Times New Roman" w:eastAsia="Times New Roman" w:hAnsi="Times New Roman"/>
          <w:sz w:val="20"/>
          <w:szCs w:val="20"/>
        </w:rPr>
        <w:t xml:space="preserve">Art. 30 — Servicio Federal</w:t>
      </w:r>
    </w:p>
    <w:p>
      <w:pPr>
        <w:spacing w:after="20" w:line="288"/>
        <w:ind w:left="360"/>
      </w:pPr>
      <w:r>
        <w:rPr>
          <w:rFonts w:ascii="Times New Roman" w:cs="Times New Roman" w:eastAsia="Times New Roman" w:hAnsi="Times New Roman"/>
          <w:sz w:val="20"/>
          <w:szCs w:val="20"/>
        </w:rPr>
        <w:t xml:space="preserve">Art. 31 — Acceso</w:t>
      </w:r>
    </w:p>
    <w:p>
      <w:pPr>
        <w:spacing w:after="20" w:line="288"/>
        <w:ind w:left="360"/>
      </w:pPr>
      <w:r>
        <w:rPr>
          <w:rFonts w:ascii="Times New Roman" w:cs="Times New Roman" w:eastAsia="Times New Roman" w:hAnsi="Times New Roman"/>
          <w:sz w:val="20"/>
          <w:szCs w:val="20"/>
        </w:rPr>
        <w:t xml:space="preserve">Art. 32 — Deudas comprendidas</w:t>
      </w:r>
    </w:p>
    <w:p>
      <w:pPr>
        <w:spacing w:after="20" w:line="288"/>
        <w:ind w:left="360"/>
      </w:pPr>
      <w:r>
        <w:rPr>
          <w:rFonts w:ascii="Times New Roman" w:cs="Times New Roman" w:eastAsia="Times New Roman" w:hAnsi="Times New Roman"/>
          <w:sz w:val="20"/>
          <w:szCs w:val="20"/>
        </w:rPr>
        <w:t xml:space="preserve">Art. 33 — Solicitud</w:t>
      </w:r>
    </w:p>
    <w:p>
      <w:pPr>
        <w:spacing w:after="20" w:line="288"/>
        <w:ind w:left="360"/>
      </w:pPr>
      <w:r>
        <w:rPr>
          <w:rFonts w:ascii="Times New Roman" w:cs="Times New Roman" w:eastAsia="Times New Roman" w:hAnsi="Times New Roman"/>
          <w:sz w:val="20"/>
          <w:szCs w:val="20"/>
        </w:rPr>
        <w:t xml:space="preserve">Art. 34 — Admisión y efectos</w:t>
      </w:r>
    </w:p>
    <w:p>
      <w:pPr>
        <w:spacing w:after="20" w:line="288"/>
        <w:ind w:left="360"/>
      </w:pPr>
      <w:r>
        <w:rPr>
          <w:rFonts w:ascii="Times New Roman" w:cs="Times New Roman" w:eastAsia="Times New Roman" w:hAnsi="Times New Roman"/>
          <w:sz w:val="20"/>
          <w:szCs w:val="20"/>
        </w:rPr>
        <w:t xml:space="preserve">Art. 35 — Verificación de créditos</w:t>
      </w:r>
    </w:p>
    <w:p>
      <w:pPr>
        <w:spacing w:after="20" w:line="288"/>
        <w:ind w:left="360"/>
      </w:pPr>
      <w:r>
        <w:rPr>
          <w:rFonts w:ascii="Times New Roman" w:cs="Times New Roman" w:eastAsia="Times New Roman" w:hAnsi="Times New Roman"/>
          <w:sz w:val="20"/>
          <w:szCs w:val="20"/>
        </w:rPr>
        <w:t xml:space="preserve">Art. 36 — Auditoría del pasivo</w:t>
      </w:r>
    </w:p>
    <w:p>
      <w:pPr>
        <w:spacing w:after="20" w:line="288"/>
        <w:ind w:left="360"/>
      </w:pPr>
      <w:r>
        <w:rPr>
          <w:rFonts w:ascii="Times New Roman" w:cs="Times New Roman" w:eastAsia="Times New Roman" w:hAnsi="Times New Roman"/>
          <w:sz w:val="20"/>
          <w:szCs w:val="20"/>
        </w:rPr>
        <w:t xml:space="preserve">Art. 37 — Capacidad mensual de pago</w:t>
      </w:r>
    </w:p>
    <w:p>
      <w:pPr>
        <w:spacing w:after="20" w:line="288"/>
        <w:ind w:left="360"/>
      </w:pPr>
      <w:r>
        <w:rPr>
          <w:rFonts w:ascii="Times New Roman" w:cs="Times New Roman" w:eastAsia="Times New Roman" w:hAnsi="Times New Roman"/>
          <w:sz w:val="20"/>
          <w:szCs w:val="20"/>
        </w:rPr>
        <w:t xml:space="preserve">Art. 38 — Propuesta de plan</w:t>
      </w:r>
    </w:p>
    <w:p>
      <w:pPr>
        <w:spacing w:after="20" w:line="288"/>
        <w:ind w:left="360"/>
      </w:pPr>
      <w:r>
        <w:rPr>
          <w:rFonts w:ascii="Times New Roman" w:cs="Times New Roman" w:eastAsia="Times New Roman" w:hAnsi="Times New Roman"/>
          <w:sz w:val="20"/>
          <w:szCs w:val="20"/>
        </w:rPr>
        <w:t xml:space="preserve">Art. 39 — Participación obligatoria</w:t>
      </w:r>
    </w:p>
    <w:p>
      <w:pPr>
        <w:spacing w:after="20" w:line="288"/>
        <w:ind w:left="360"/>
      </w:pPr>
      <w:r>
        <w:rPr>
          <w:rFonts w:ascii="Times New Roman" w:cs="Times New Roman" w:eastAsia="Times New Roman" w:hAnsi="Times New Roman"/>
          <w:sz w:val="20"/>
          <w:szCs w:val="20"/>
        </w:rPr>
        <w:t xml:space="preserve">Art. 40 — Acuerdo</w:t>
      </w:r>
    </w:p>
    <w:p>
      <w:pPr>
        <w:spacing w:after="20" w:line="288"/>
        <w:ind w:left="360"/>
      </w:pPr>
      <w:r>
        <w:rPr>
          <w:rFonts w:ascii="Times New Roman" w:cs="Times New Roman" w:eastAsia="Times New Roman" w:hAnsi="Times New Roman"/>
          <w:sz w:val="20"/>
          <w:szCs w:val="20"/>
        </w:rPr>
        <w:t xml:space="preserve">Art. 41 — Homologación judicial abreviada</w:t>
      </w:r>
    </w:p>
    <w:p>
      <w:pPr>
        <w:spacing w:after="20" w:line="288"/>
        <w:ind w:left="360"/>
      </w:pPr>
      <w:r>
        <w:rPr>
          <w:rFonts w:ascii="Times New Roman" w:cs="Times New Roman" w:eastAsia="Times New Roman" w:hAnsi="Times New Roman"/>
          <w:sz w:val="20"/>
          <w:szCs w:val="20"/>
        </w:rPr>
        <w:t xml:space="preserve">Art. 42 — Tutela reforzada</w:t>
      </w:r>
    </w:p>
    <w:p>
      <w:pPr>
        <w:spacing w:after="20" w:line="288"/>
        <w:ind w:left="360"/>
      </w:pPr>
      <w:r>
        <w:rPr>
          <w:rFonts w:ascii="Times New Roman" w:cs="Times New Roman" w:eastAsia="Times New Roman" w:hAnsi="Times New Roman"/>
          <w:sz w:val="20"/>
          <w:szCs w:val="20"/>
        </w:rPr>
        <w:t xml:space="preserve">Art. 43 — Cierre o fracaso</w:t>
      </w:r>
    </w:p>
    <w:p>
      <w:pPr>
        <w:spacing w:after="40" w:before="140" w:line="300"/>
      </w:pPr>
      <w:r>
        <w:rPr>
          <w:rFonts w:ascii="Times New Roman" w:cs="Times New Roman" w:eastAsia="Times New Roman" w:hAnsi="Times New Roman"/>
          <w:b/>
          <w:bCs/>
          <w:sz w:val="22"/>
          <w:szCs w:val="22"/>
        </w:rPr>
        <w:t xml:space="preserve">TÍTULO V — SEGUNDA OPORTUNIDAD DE LA PERSONA HUMANA</w:t>
      </w:r>
    </w:p>
    <w:p>
      <w:pPr>
        <w:spacing w:after="20" w:line="288"/>
        <w:ind w:left="360"/>
      </w:pPr>
      <w:r>
        <w:rPr>
          <w:rFonts w:ascii="Times New Roman" w:cs="Times New Roman" w:eastAsia="Times New Roman" w:hAnsi="Times New Roman"/>
          <w:sz w:val="20"/>
          <w:szCs w:val="20"/>
        </w:rPr>
        <w:t xml:space="preserve">Art. 44 — Naturaleza y competencia</w:t>
      </w:r>
    </w:p>
    <w:p>
      <w:pPr>
        <w:spacing w:after="20" w:line="288"/>
        <w:ind w:left="360"/>
      </w:pPr>
      <w:r>
        <w:rPr>
          <w:rFonts w:ascii="Times New Roman" w:cs="Times New Roman" w:eastAsia="Times New Roman" w:hAnsi="Times New Roman"/>
          <w:sz w:val="20"/>
          <w:szCs w:val="20"/>
        </w:rPr>
        <w:t xml:space="preserve">Art. 45 — Apertura</w:t>
      </w:r>
    </w:p>
    <w:p>
      <w:pPr>
        <w:spacing w:after="20" w:line="288"/>
        <w:ind w:left="360"/>
      </w:pPr>
      <w:r>
        <w:rPr>
          <w:rFonts w:ascii="Times New Roman" w:cs="Times New Roman" w:eastAsia="Times New Roman" w:hAnsi="Times New Roman"/>
          <w:sz w:val="20"/>
          <w:szCs w:val="20"/>
        </w:rPr>
        <w:t xml:space="preserve">Art. 46 — Efectos</w:t>
      </w:r>
    </w:p>
    <w:p>
      <w:pPr>
        <w:spacing w:after="20" w:line="288"/>
        <w:ind w:left="360"/>
      </w:pPr>
      <w:r>
        <w:rPr>
          <w:rFonts w:ascii="Times New Roman" w:cs="Times New Roman" w:eastAsia="Times New Roman" w:hAnsi="Times New Roman"/>
          <w:sz w:val="20"/>
          <w:szCs w:val="20"/>
        </w:rPr>
        <w:t xml:space="preserve">Art. 47 — Verificación y clasificación</w:t>
      </w:r>
    </w:p>
    <w:p>
      <w:pPr>
        <w:spacing w:after="20" w:line="288"/>
        <w:ind w:left="360"/>
      </w:pPr>
      <w:r>
        <w:rPr>
          <w:rFonts w:ascii="Times New Roman" w:cs="Times New Roman" w:eastAsia="Times New Roman" w:hAnsi="Times New Roman"/>
          <w:sz w:val="20"/>
          <w:szCs w:val="20"/>
        </w:rPr>
        <w:t xml:space="preserve">Art. 48 — Procedimiento sin activos ni capacidad de pago</w:t>
      </w:r>
    </w:p>
    <w:p>
      <w:pPr>
        <w:spacing w:after="20" w:line="288"/>
        <w:ind w:left="360"/>
      </w:pPr>
      <w:r>
        <w:rPr>
          <w:rFonts w:ascii="Times New Roman" w:cs="Times New Roman" w:eastAsia="Times New Roman" w:hAnsi="Times New Roman"/>
          <w:sz w:val="20"/>
          <w:szCs w:val="20"/>
        </w:rPr>
        <w:t xml:space="preserve">Art. 49 — Plan judicial</w:t>
      </w:r>
    </w:p>
    <w:p>
      <w:pPr>
        <w:spacing w:after="20" w:line="288"/>
        <w:ind w:left="360"/>
      </w:pPr>
      <w:r>
        <w:rPr>
          <w:rFonts w:ascii="Times New Roman" w:cs="Times New Roman" w:eastAsia="Times New Roman" w:hAnsi="Times New Roman"/>
          <w:sz w:val="20"/>
          <w:szCs w:val="20"/>
        </w:rPr>
        <w:t xml:space="preserve">Art. 50 — Aprobación sin unanimidad</w:t>
      </w:r>
    </w:p>
    <w:p>
      <w:pPr>
        <w:spacing w:after="20" w:line="288"/>
        <w:ind w:left="360"/>
      </w:pPr>
      <w:r>
        <w:rPr>
          <w:rFonts w:ascii="Times New Roman" w:cs="Times New Roman" w:eastAsia="Times New Roman" w:hAnsi="Times New Roman"/>
          <w:sz w:val="20"/>
          <w:szCs w:val="20"/>
        </w:rPr>
        <w:t xml:space="preserve">Art. 51 — Liquidación excepcional</w:t>
      </w:r>
    </w:p>
    <w:p>
      <w:pPr>
        <w:spacing w:after="20" w:line="288"/>
        <w:ind w:left="360"/>
      </w:pPr>
      <w:r>
        <w:rPr>
          <w:rFonts w:ascii="Times New Roman" w:cs="Times New Roman" w:eastAsia="Times New Roman" w:hAnsi="Times New Roman"/>
          <w:sz w:val="20"/>
          <w:szCs w:val="20"/>
        </w:rPr>
        <w:t xml:space="preserve">Art. 52 — Bienes y recursos protegidos</w:t>
      </w:r>
    </w:p>
    <w:p>
      <w:pPr>
        <w:spacing w:after="20" w:line="288"/>
        <w:ind w:left="360"/>
      </w:pPr>
      <w:r>
        <w:rPr>
          <w:rFonts w:ascii="Times New Roman" w:cs="Times New Roman" w:eastAsia="Times New Roman" w:hAnsi="Times New Roman"/>
          <w:sz w:val="20"/>
          <w:szCs w:val="20"/>
        </w:rPr>
        <w:t xml:space="preserve">Art. 53 — Vivienda única</w:t>
      </w:r>
    </w:p>
    <w:p>
      <w:pPr>
        <w:spacing w:after="20" w:line="288"/>
        <w:ind w:left="360"/>
      </w:pPr>
      <w:r>
        <w:rPr>
          <w:rFonts w:ascii="Times New Roman" w:cs="Times New Roman" w:eastAsia="Times New Roman" w:hAnsi="Times New Roman"/>
          <w:sz w:val="20"/>
          <w:szCs w:val="20"/>
        </w:rPr>
        <w:t xml:space="preserve">Art. 54 — Exoneración del pasivo insatisfecho</w:t>
      </w:r>
    </w:p>
    <w:p>
      <w:pPr>
        <w:spacing w:after="20" w:line="288"/>
        <w:ind w:left="360"/>
      </w:pPr>
      <w:r>
        <w:rPr>
          <w:rFonts w:ascii="Times New Roman" w:cs="Times New Roman" w:eastAsia="Times New Roman" w:hAnsi="Times New Roman"/>
          <w:sz w:val="20"/>
          <w:szCs w:val="20"/>
        </w:rPr>
        <w:t xml:space="preserve">Art. 55 — Deudas no exonerables</w:t>
      </w:r>
    </w:p>
    <w:p>
      <w:pPr>
        <w:spacing w:after="20" w:line="288"/>
        <w:ind w:left="360"/>
      </w:pPr>
      <w:r>
        <w:rPr>
          <w:rFonts w:ascii="Times New Roman" w:cs="Times New Roman" w:eastAsia="Times New Roman" w:hAnsi="Times New Roman"/>
          <w:sz w:val="20"/>
          <w:szCs w:val="20"/>
        </w:rPr>
        <w:t xml:space="preserve">Art. 56 — Revocación e ingresos extraordinarios</w:t>
      </w:r>
    </w:p>
    <w:p>
      <w:pPr>
        <w:spacing w:after="20" w:line="288"/>
        <w:ind w:left="360"/>
      </w:pPr>
      <w:r>
        <w:rPr>
          <w:rFonts w:ascii="Times New Roman" w:cs="Times New Roman" w:eastAsia="Times New Roman" w:hAnsi="Times New Roman"/>
          <w:sz w:val="20"/>
          <w:szCs w:val="20"/>
        </w:rPr>
        <w:t xml:space="preserve">Art. 57 — Rehabilitación y registros</w:t>
      </w:r>
    </w:p>
    <w:p>
      <w:pPr>
        <w:spacing w:after="20" w:line="288"/>
        <w:ind w:left="360"/>
      </w:pPr>
      <w:r>
        <w:rPr>
          <w:rFonts w:ascii="Times New Roman" w:cs="Times New Roman" w:eastAsia="Times New Roman" w:hAnsi="Times New Roman"/>
          <w:sz w:val="20"/>
          <w:szCs w:val="20"/>
        </w:rPr>
        <w:t xml:space="preserve">Art. 58 — Nuevo acceso</w:t>
      </w:r>
    </w:p>
    <w:p>
      <w:pPr>
        <w:spacing w:after="40" w:before="140" w:line="300"/>
      </w:pPr>
      <w:r>
        <w:rPr>
          <w:rFonts w:ascii="Times New Roman" w:cs="Times New Roman" w:eastAsia="Times New Roman" w:hAnsi="Times New Roman"/>
          <w:b/>
          <w:bCs/>
          <w:sz w:val="22"/>
          <w:szCs w:val="22"/>
        </w:rPr>
        <w:t xml:space="preserve">TÍTULO VI — RÉGIMEN TRANSITORIO PARA DEUDAS DESDE 2023</w:t>
      </w:r>
    </w:p>
    <w:p>
      <w:pPr>
        <w:spacing w:after="20" w:line="288"/>
        <w:ind w:left="360"/>
      </w:pPr>
      <w:r>
        <w:rPr>
          <w:rFonts w:ascii="Times New Roman" w:cs="Times New Roman" w:eastAsia="Times New Roman" w:hAnsi="Times New Roman"/>
          <w:sz w:val="20"/>
          <w:szCs w:val="20"/>
        </w:rPr>
        <w:t xml:space="preserve">Art. 59 — Emergencia y vigencia</w:t>
      </w:r>
    </w:p>
    <w:p>
      <w:pPr>
        <w:spacing w:after="20" w:line="288"/>
        <w:ind w:left="360"/>
      </w:pPr>
      <w:r>
        <w:rPr>
          <w:rFonts w:ascii="Times New Roman" w:cs="Times New Roman" w:eastAsia="Times New Roman" w:hAnsi="Times New Roman"/>
          <w:sz w:val="20"/>
          <w:szCs w:val="20"/>
        </w:rPr>
        <w:t xml:space="preserve">Art. 60 — Deudas alcanzadas</w:t>
      </w:r>
    </w:p>
    <w:p>
      <w:pPr>
        <w:spacing w:after="20" w:line="288"/>
        <w:ind w:left="360"/>
      </w:pPr>
      <w:r>
        <w:rPr>
          <w:rFonts w:ascii="Times New Roman" w:cs="Times New Roman" w:eastAsia="Times New Roman" w:hAnsi="Times New Roman"/>
          <w:sz w:val="20"/>
          <w:szCs w:val="20"/>
        </w:rPr>
        <w:t xml:space="preserve">Art. 61 — Beneficiarios</w:t>
      </w:r>
    </w:p>
    <w:p>
      <w:pPr>
        <w:spacing w:after="20" w:line="288"/>
        <w:ind w:left="360"/>
      </w:pPr>
      <w:r>
        <w:rPr>
          <w:rFonts w:ascii="Times New Roman" w:cs="Times New Roman" w:eastAsia="Times New Roman" w:hAnsi="Times New Roman"/>
          <w:sz w:val="20"/>
          <w:szCs w:val="20"/>
        </w:rPr>
        <w:t xml:space="preserve">Art. 62 — Recalculo obligatorio</w:t>
      </w:r>
    </w:p>
    <w:p>
      <w:pPr>
        <w:spacing w:after="20" w:line="288"/>
        <w:ind w:left="360"/>
      </w:pPr>
      <w:r>
        <w:rPr>
          <w:rFonts w:ascii="Times New Roman" w:cs="Times New Roman" w:eastAsia="Times New Roman" w:hAnsi="Times New Roman"/>
          <w:sz w:val="20"/>
          <w:szCs w:val="20"/>
        </w:rPr>
        <w:t xml:space="preserve">Art. 63 — Plan transitorio estándar</w:t>
      </w:r>
    </w:p>
    <w:p>
      <w:pPr>
        <w:spacing w:after="20" w:line="288"/>
        <w:ind w:left="360"/>
      </w:pPr>
      <w:r>
        <w:rPr>
          <w:rFonts w:ascii="Times New Roman" w:cs="Times New Roman" w:eastAsia="Times New Roman" w:hAnsi="Times New Roman"/>
          <w:sz w:val="20"/>
          <w:szCs w:val="20"/>
        </w:rPr>
        <w:t xml:space="preserve">Art. 64 — Insuficiencia del plan</w:t>
      </w:r>
    </w:p>
    <w:p>
      <w:pPr>
        <w:spacing w:after="20" w:line="288"/>
        <w:ind w:left="360"/>
      </w:pPr>
      <w:r>
        <w:rPr>
          <w:rFonts w:ascii="Times New Roman" w:cs="Times New Roman" w:eastAsia="Times New Roman" w:hAnsi="Times New Roman"/>
          <w:sz w:val="20"/>
          <w:szCs w:val="20"/>
        </w:rPr>
        <w:t xml:space="preserve">Art. 65 — Acciones y reporte</w:t>
      </w:r>
    </w:p>
    <w:p>
      <w:pPr>
        <w:spacing w:after="20" w:line="288"/>
        <w:ind w:left="360"/>
      </w:pPr>
      <w:r>
        <w:rPr>
          <w:rFonts w:ascii="Times New Roman" w:cs="Times New Roman" w:eastAsia="Times New Roman" w:hAnsi="Times New Roman"/>
          <w:sz w:val="20"/>
          <w:szCs w:val="20"/>
        </w:rPr>
        <w:t xml:space="preserve">Art. 66 — Deuda hipotecaria de vivienda</w:t>
      </w:r>
    </w:p>
    <w:p>
      <w:pPr>
        <w:spacing w:after="20" w:line="288"/>
        <w:ind w:left="360"/>
      </w:pPr>
      <w:r>
        <w:rPr>
          <w:rFonts w:ascii="Times New Roman" w:cs="Times New Roman" w:eastAsia="Times New Roman" w:hAnsi="Times New Roman"/>
          <w:sz w:val="20"/>
          <w:szCs w:val="20"/>
        </w:rPr>
        <w:t xml:space="preserve">Art. 67 — Prohibición de rescate público de cartera</w:t>
      </w:r>
    </w:p>
    <w:p>
      <w:pPr>
        <w:spacing w:after="20" w:line="288"/>
        <w:ind w:left="360"/>
      </w:pPr>
      <w:r>
        <w:rPr>
          <w:rFonts w:ascii="Times New Roman" w:cs="Times New Roman" w:eastAsia="Times New Roman" w:hAnsi="Times New Roman"/>
          <w:sz w:val="20"/>
          <w:szCs w:val="20"/>
        </w:rPr>
        <w:t xml:space="preserve">Art. 68 — Evaluación y cierre</w:t>
      </w:r>
    </w:p>
    <w:p>
      <w:pPr>
        <w:spacing w:after="40" w:before="140" w:line="300"/>
      </w:pPr>
      <w:r>
        <w:rPr>
          <w:rFonts w:ascii="Times New Roman" w:cs="Times New Roman" w:eastAsia="Times New Roman" w:hAnsi="Times New Roman"/>
          <w:b/>
          <w:bCs/>
          <w:sz w:val="22"/>
          <w:szCs w:val="22"/>
        </w:rPr>
        <w:t xml:space="preserve">TÍTULO VII — AUTORIDADES, DATOS, FINANCIAMIENTO Y SANCIONES</w:t>
      </w:r>
    </w:p>
    <w:p>
      <w:pPr>
        <w:spacing w:after="20" w:line="288"/>
        <w:ind w:left="360"/>
      </w:pPr>
      <w:r>
        <w:rPr>
          <w:rFonts w:ascii="Times New Roman" w:cs="Times New Roman" w:eastAsia="Times New Roman" w:hAnsi="Times New Roman"/>
          <w:sz w:val="20"/>
          <w:szCs w:val="20"/>
        </w:rPr>
        <w:t xml:space="preserve">Art. 69 — Autoridades de aplicación</w:t>
      </w:r>
    </w:p>
    <w:p>
      <w:pPr>
        <w:spacing w:after="20" w:line="288"/>
        <w:ind w:left="360"/>
      </w:pPr>
      <w:r>
        <w:rPr>
          <w:rFonts w:ascii="Times New Roman" w:cs="Times New Roman" w:eastAsia="Times New Roman" w:hAnsi="Times New Roman"/>
          <w:sz w:val="20"/>
          <w:szCs w:val="20"/>
        </w:rPr>
        <w:t xml:space="preserve">Art. 70 — Consejo Federal</w:t>
      </w:r>
    </w:p>
    <w:p>
      <w:pPr>
        <w:spacing w:after="20" w:line="288"/>
        <w:ind w:left="360"/>
      </w:pPr>
      <w:r>
        <w:rPr>
          <w:rFonts w:ascii="Times New Roman" w:cs="Times New Roman" w:eastAsia="Times New Roman" w:hAnsi="Times New Roman"/>
          <w:sz w:val="20"/>
          <w:szCs w:val="20"/>
        </w:rPr>
        <w:t xml:space="preserve">Art. 71 — Funciones del BCRA</w:t>
      </w:r>
    </w:p>
    <w:p>
      <w:pPr>
        <w:spacing w:after="20" w:line="288"/>
        <w:ind w:left="360"/>
      </w:pPr>
      <w:r>
        <w:rPr>
          <w:rFonts w:ascii="Times New Roman" w:cs="Times New Roman" w:eastAsia="Times New Roman" w:hAnsi="Times New Roman"/>
          <w:sz w:val="20"/>
          <w:szCs w:val="20"/>
        </w:rPr>
        <w:t xml:space="preserve">Art. 72 — Tablero público</w:t>
      </w:r>
    </w:p>
    <w:p>
      <w:pPr>
        <w:spacing w:after="20" w:line="288"/>
        <w:ind w:left="360"/>
      </w:pPr>
      <w:r>
        <w:rPr>
          <w:rFonts w:ascii="Times New Roman" w:cs="Times New Roman" w:eastAsia="Times New Roman" w:hAnsi="Times New Roman"/>
          <w:sz w:val="20"/>
          <w:szCs w:val="20"/>
        </w:rPr>
        <w:t xml:space="preserve">Art. 73 — Portal personal de deuda</w:t>
      </w:r>
    </w:p>
    <w:p>
      <w:pPr>
        <w:spacing w:after="20" w:line="288"/>
        <w:ind w:left="360"/>
      </w:pPr>
      <w:r>
        <w:rPr>
          <w:rFonts w:ascii="Times New Roman" w:cs="Times New Roman" w:eastAsia="Times New Roman" w:hAnsi="Times New Roman"/>
          <w:sz w:val="20"/>
          <w:szCs w:val="20"/>
        </w:rPr>
        <w:t xml:space="preserve">Art. 74 — Asesoramiento independiente</w:t>
      </w:r>
    </w:p>
    <w:p>
      <w:pPr>
        <w:spacing w:after="20" w:line="288"/>
        <w:ind w:left="360"/>
      </w:pPr>
      <w:r>
        <w:rPr>
          <w:rFonts w:ascii="Times New Roman" w:cs="Times New Roman" w:eastAsia="Times New Roman" w:hAnsi="Times New Roman"/>
          <w:sz w:val="20"/>
          <w:szCs w:val="20"/>
        </w:rPr>
        <w:t xml:space="preserve">Art. 75 — Observatorio</w:t>
      </w:r>
    </w:p>
    <w:p>
      <w:pPr>
        <w:spacing w:after="20" w:line="288"/>
        <w:ind w:left="360"/>
      </w:pPr>
      <w:r>
        <w:rPr>
          <w:rFonts w:ascii="Times New Roman" w:cs="Times New Roman" w:eastAsia="Times New Roman" w:hAnsi="Times New Roman"/>
          <w:sz w:val="20"/>
          <w:szCs w:val="20"/>
        </w:rPr>
        <w:t xml:space="preserve">Art. 76 — Financiamiento institucional</w:t>
      </w:r>
    </w:p>
    <w:p>
      <w:pPr>
        <w:spacing w:after="20" w:line="288"/>
        <w:ind w:left="360"/>
      </w:pPr>
      <w:r>
        <w:rPr>
          <w:rFonts w:ascii="Times New Roman" w:cs="Times New Roman" w:eastAsia="Times New Roman" w:hAnsi="Times New Roman"/>
          <w:sz w:val="20"/>
          <w:szCs w:val="20"/>
        </w:rPr>
        <w:t xml:space="preserve">Art. 77 — Prohibición de traslado directo</w:t>
      </w:r>
    </w:p>
    <w:p>
      <w:pPr>
        <w:spacing w:after="20" w:line="288"/>
        <w:ind w:left="360"/>
      </w:pPr>
      <w:r>
        <w:rPr>
          <w:rFonts w:ascii="Times New Roman" w:cs="Times New Roman" w:eastAsia="Times New Roman" w:hAnsi="Times New Roman"/>
          <w:sz w:val="20"/>
          <w:szCs w:val="20"/>
        </w:rPr>
        <w:t xml:space="preserve">Art. 78 — Infracciones y sanciones</w:t>
      </w:r>
    </w:p>
    <w:p>
      <w:pPr>
        <w:spacing w:after="40" w:before="140" w:line="300"/>
      </w:pPr>
      <w:r>
        <w:rPr>
          <w:rFonts w:ascii="Times New Roman" w:cs="Times New Roman" w:eastAsia="Times New Roman" w:hAnsi="Times New Roman"/>
          <w:b/>
          <w:bCs/>
          <w:sz w:val="22"/>
          <w:szCs w:val="22"/>
        </w:rPr>
        <w:t xml:space="preserve">TÍTULO VIII — ARMONIZACIÓN Y DISPOSICIONES FINALES</w:t>
      </w:r>
    </w:p>
    <w:p>
      <w:pPr>
        <w:spacing w:after="20" w:line="288"/>
        <w:ind w:left="360"/>
      </w:pPr>
      <w:r>
        <w:rPr>
          <w:rFonts w:ascii="Times New Roman" w:cs="Times New Roman" w:eastAsia="Times New Roman" w:hAnsi="Times New Roman"/>
          <w:sz w:val="20"/>
          <w:szCs w:val="20"/>
        </w:rPr>
        <w:t xml:space="preserve">Art. 79 — Incorporación a la Ley 24.240</w:t>
      </w:r>
    </w:p>
    <w:p>
      <w:pPr>
        <w:spacing w:after="20" w:line="288"/>
        <w:ind w:left="360"/>
      </w:pPr>
      <w:r>
        <w:rPr>
          <w:rFonts w:ascii="Times New Roman" w:cs="Times New Roman" w:eastAsia="Times New Roman" w:hAnsi="Times New Roman"/>
          <w:sz w:val="20"/>
          <w:szCs w:val="20"/>
        </w:rPr>
        <w:t xml:space="preserve">Art. 80 — Ley 25.065</w:t>
      </w:r>
    </w:p>
    <w:p>
      <w:pPr>
        <w:spacing w:after="20" w:line="288"/>
        <w:ind w:left="360"/>
      </w:pPr>
      <w:r>
        <w:rPr>
          <w:rFonts w:ascii="Times New Roman" w:cs="Times New Roman" w:eastAsia="Times New Roman" w:hAnsi="Times New Roman"/>
          <w:sz w:val="20"/>
          <w:szCs w:val="20"/>
        </w:rPr>
        <w:t xml:space="preserve">Art. 81 — Protección de datos</w:t>
      </w:r>
    </w:p>
    <w:p>
      <w:pPr>
        <w:spacing w:after="20" w:line="288"/>
        <w:ind w:left="360"/>
      </w:pPr>
      <w:r>
        <w:rPr>
          <w:rFonts w:ascii="Times New Roman" w:cs="Times New Roman" w:eastAsia="Times New Roman" w:hAnsi="Times New Roman"/>
          <w:sz w:val="20"/>
          <w:szCs w:val="20"/>
        </w:rPr>
        <w:t xml:space="preserve">Art. 82 — Adhesión local</w:t>
      </w:r>
    </w:p>
    <w:p>
      <w:pPr>
        <w:spacing w:after="20" w:line="288"/>
        <w:ind w:left="360"/>
      </w:pPr>
      <w:r>
        <w:rPr>
          <w:rFonts w:ascii="Times New Roman" w:cs="Times New Roman" w:eastAsia="Times New Roman" w:hAnsi="Times New Roman"/>
          <w:sz w:val="20"/>
          <w:szCs w:val="20"/>
        </w:rPr>
        <w:t xml:space="preserve">Art. 83 — Implementación</w:t>
      </w:r>
    </w:p>
    <w:p>
      <w:pPr>
        <w:spacing w:after="20" w:line="288"/>
        <w:ind w:left="360"/>
      </w:pPr>
      <w:r>
        <w:rPr>
          <w:rFonts w:ascii="Times New Roman" w:cs="Times New Roman" w:eastAsia="Times New Roman" w:hAnsi="Times New Roman"/>
          <w:sz w:val="20"/>
          <w:szCs w:val="20"/>
        </w:rPr>
        <w:t xml:space="preserve">Art. 84 — Contratos en curso</w:t>
      </w:r>
    </w:p>
    <w:p>
      <w:pPr>
        <w:spacing w:after="20" w:line="288"/>
        <w:ind w:left="360"/>
      </w:pPr>
      <w:r>
        <w:rPr>
          <w:rFonts w:ascii="Times New Roman" w:cs="Times New Roman" w:eastAsia="Times New Roman" w:hAnsi="Times New Roman"/>
          <w:sz w:val="20"/>
          <w:szCs w:val="20"/>
        </w:rPr>
        <w:t xml:space="preserve">Art. 85 — Reglamentación y vigencia</w:t>
      </w:r>
    </w:p>
    <w:p>
      <w:pPr>
        <w:spacing w:after="20" w:line="288"/>
        <w:ind w:left="360"/>
      </w:pPr>
      <w:r>
        <w:rPr>
          <w:rFonts w:ascii="Times New Roman" w:cs="Times New Roman" w:eastAsia="Times New Roman" w:hAnsi="Times New Roman"/>
          <w:sz w:val="20"/>
          <w:szCs w:val="20"/>
        </w:rPr>
        <w:t xml:space="preserve">Art. 86 — Comuníquese</w:t>
      </w:r>
    </w:p>
    <w:p>
      <w:pPr>
        <w:spacing w:after="40" w:before="140" w:line="300"/>
      </w:pPr>
      <w:r>
        <w:rPr>
          <w:rFonts w:ascii="Times New Roman" w:cs="Times New Roman" w:eastAsia="Times New Roman" w:hAnsi="Times New Roman"/>
          <w:b/>
          <w:bCs/>
          <w:sz w:val="22"/>
          <w:szCs w:val="22"/>
        </w:rPr>
        <w:t xml:space="preserve">ANEXO I — CÁLCULO DE CAPACIDAD DE PAGO Y MÍNIMO VITAL</w:t>
      </w:r>
    </w:p>
    <w:p>
      <w:pPr>
        <w:pageBreakBefore/>
        <w:spacing w:after="60"/>
      </w:pPr>
      <w:r>
        <w:rPr>
          <w:rFonts w:ascii="Times New Roman" w:cs="Times New Roman" w:eastAsia="Times New Roman" w:hAnsi="Times New Roman"/>
        </w:rPr>
        <w:t xml:space="preserve"/>
      </w:r>
    </w:p>
    <w:p>
      <w:pPr>
        <w:spacing w:after="200" w:before="120" w:line="360"/>
        <w:jc w:val="both"/>
      </w:pPr>
      <w:r>
        <w:rPr>
          <w:rFonts w:ascii="Times New Roman" w:cs="Times New Roman" w:eastAsia="Times New Roman" w:hAnsi="Times New Roman"/>
          <w:sz w:val="24"/>
          <w:szCs w:val="24"/>
        </w:rPr>
        <w:t xml:space="preserve">El Senado y la Cámara de Diputados de la Nación Argentina, reunidos en Congreso, sancionan con fuerza de ley:</w:t>
      </w:r>
    </w:p>
    <w:p>
      <w:pPr>
        <w:keepNext/>
        <w:spacing w:after="160" w:before="300" w:line="360"/>
        <w:jc w:val="center"/>
      </w:pPr>
      <w:r>
        <w:rPr>
          <w:rFonts w:ascii="Times New Roman" w:cs="Times New Roman" w:eastAsia="Times New Roman" w:hAnsi="Times New Roman"/>
          <w:b/>
          <w:bCs/>
          <w:sz w:val="25"/>
          <w:szCs w:val="25"/>
        </w:rPr>
        <w:t xml:space="preserve">TÍTULO I — DISPOSICIONES GENERALES</w:t>
      </w:r>
    </w:p>
    <w:p>
      <w:pPr>
        <w:keepNext/>
        <w:spacing w:after="80" w:before="220" w:line="360"/>
        <w:jc w:val="left"/>
      </w:pPr>
      <w:r>
        <w:rPr>
          <w:rFonts w:ascii="Times New Roman" w:cs="Times New Roman" w:eastAsia="Times New Roman" w:hAnsi="Times New Roman"/>
          <w:b/>
          <w:bCs/>
          <w:sz w:val="24"/>
          <w:szCs w:val="24"/>
        </w:rPr>
        <w:t xml:space="preserve">Artículo 1° — Objeto</w:t>
      </w:r>
    </w:p>
    <w:p>
      <w:pPr>
        <w:spacing w:after="140" w:line="360"/>
        <w:jc w:val="both"/>
      </w:pPr>
      <w:r>
        <w:rPr>
          <w:rFonts w:ascii="Times New Roman" w:cs="Times New Roman" w:eastAsia="Times New Roman" w:hAnsi="Times New Roman"/>
          <w:sz w:val="24"/>
          <w:szCs w:val="24"/>
        </w:rPr>
        <w:t xml:space="preserve">La presente ley tiene por objeto:</w:t>
      </w:r>
    </w:p>
    <w:p>
      <w:pPr>
        <w:spacing w:after="120" w:line="360"/>
        <w:ind w:left="709" w:hanging="340"/>
        <w:jc w:val="both"/>
      </w:pPr>
      <w:r>
        <w:rPr>
          <w:rFonts w:ascii="Times New Roman" w:cs="Times New Roman" w:eastAsia="Times New Roman" w:hAnsi="Times New Roman"/>
          <w:sz w:val="24"/>
          <w:szCs w:val="24"/>
        </w:rPr>
        <w:t xml:space="preserve">a) prevenir el sobreendeudamiento de las personas humanas y de los hogares;</w:t>
      </w:r>
    </w:p>
    <w:p>
      <w:pPr>
        <w:spacing w:after="120" w:line="360"/>
        <w:ind w:left="709" w:hanging="340"/>
        <w:jc w:val="both"/>
      </w:pPr>
      <w:r>
        <w:rPr>
          <w:rFonts w:ascii="Times New Roman" w:cs="Times New Roman" w:eastAsia="Times New Roman" w:hAnsi="Times New Roman"/>
          <w:sz w:val="24"/>
          <w:szCs w:val="24"/>
        </w:rPr>
        <w:t xml:space="preserve">b) asegurar que el crédito de consumo sea otorgado de manera responsable, transparente y compatible con la capacidad real de pago;</w:t>
      </w:r>
    </w:p>
    <w:p>
      <w:pPr>
        <w:spacing w:after="120" w:line="360"/>
        <w:ind w:left="709" w:hanging="340"/>
        <w:jc w:val="both"/>
      </w:pPr>
      <w:r>
        <w:rPr>
          <w:rFonts w:ascii="Times New Roman" w:cs="Times New Roman" w:eastAsia="Times New Roman" w:hAnsi="Times New Roman"/>
          <w:sz w:val="24"/>
          <w:szCs w:val="24"/>
        </w:rPr>
        <w:t xml:space="preserve">c) establecer un procedimiento gratuito, accesible y eficaz de reestructuración integral de deudas;</w:t>
      </w:r>
    </w:p>
    <w:p>
      <w:pPr>
        <w:spacing w:after="120" w:line="360"/>
        <w:ind w:left="709" w:hanging="340"/>
        <w:jc w:val="both"/>
      </w:pPr>
      <w:r>
        <w:rPr>
          <w:rFonts w:ascii="Times New Roman" w:cs="Times New Roman" w:eastAsia="Times New Roman" w:hAnsi="Times New Roman"/>
          <w:sz w:val="24"/>
          <w:szCs w:val="24"/>
        </w:rPr>
        <w:t xml:space="preserve">d) preservar el mínimo vital del hogar, el trato digno y la continuidad de la vida económica y productiva;</w:t>
      </w:r>
    </w:p>
    <w:p>
      <w:pPr>
        <w:spacing w:after="120" w:line="360"/>
        <w:ind w:left="709" w:hanging="340"/>
        <w:jc w:val="both"/>
      </w:pPr>
      <w:r>
        <w:rPr>
          <w:rFonts w:ascii="Times New Roman" w:cs="Times New Roman" w:eastAsia="Times New Roman" w:hAnsi="Times New Roman"/>
          <w:sz w:val="24"/>
          <w:szCs w:val="24"/>
        </w:rPr>
        <w:t xml:space="preserve">e) reconocer una segunda oportunidad a la persona deudora de buena fe; y</w:t>
      </w:r>
    </w:p>
    <w:p>
      <w:pPr>
        <w:spacing w:after="120" w:line="360"/>
        <w:ind w:left="709" w:hanging="340"/>
        <w:jc w:val="both"/>
      </w:pPr>
      <w:r>
        <w:rPr>
          <w:rFonts w:ascii="Times New Roman" w:cs="Times New Roman" w:eastAsia="Times New Roman" w:hAnsi="Times New Roman"/>
          <w:sz w:val="24"/>
          <w:szCs w:val="24"/>
        </w:rPr>
        <w:t xml:space="preserve">f) distribuir las consecuencias del sobreendeudamiento según la conducta y responsabilidad de cada parte, sin trasladar al Estado Nacional el costo de la cartera privada.</w:t>
      </w:r>
    </w:p>
    <w:p>
      <w:pPr>
        <w:keepNext/>
        <w:spacing w:after="80" w:before="220" w:line="360"/>
        <w:jc w:val="left"/>
      </w:pPr>
      <w:r>
        <w:rPr>
          <w:rFonts w:ascii="Times New Roman" w:cs="Times New Roman" w:eastAsia="Times New Roman" w:hAnsi="Times New Roman"/>
          <w:b/>
          <w:bCs/>
          <w:sz w:val="24"/>
          <w:szCs w:val="24"/>
        </w:rPr>
        <w:t xml:space="preserve">Artículo 2° — Ámbito de aplicación</w:t>
      </w:r>
    </w:p>
    <w:p>
      <w:pPr>
        <w:spacing w:after="140" w:line="360"/>
        <w:jc w:val="both"/>
      </w:pPr>
      <w:r>
        <w:rPr>
          <w:rFonts w:ascii="Times New Roman" w:cs="Times New Roman" w:eastAsia="Times New Roman" w:hAnsi="Times New Roman"/>
          <w:sz w:val="24"/>
          <w:szCs w:val="24"/>
        </w:rPr>
        <w:t xml:space="preserve">La presente ley se aplica a las relaciones de crédito para consumo celebradas por personas humanas como destinatarias finales y a las deudas comprendidas en los procedimientos de los Títulos IV, V y VI.</w:t>
      </w:r>
    </w:p>
    <w:p>
      <w:pPr>
        <w:spacing w:after="140" w:line="360"/>
        <w:jc w:val="both"/>
      </w:pPr>
      <w:r>
        <w:rPr>
          <w:rFonts w:ascii="Times New Roman" w:cs="Times New Roman" w:eastAsia="Times New Roman" w:hAnsi="Times New Roman"/>
          <w:sz w:val="24"/>
          <w:szCs w:val="24"/>
        </w:rPr>
        <w:t xml:space="preserve">Quedan alcanzadas, cualquiera sea su forma jurídica, tecnología o encuadre regulatorio:</w:t>
      </w:r>
    </w:p>
    <w:p>
      <w:pPr>
        <w:spacing w:after="120" w:line="360"/>
        <w:ind w:left="709" w:hanging="340"/>
        <w:jc w:val="both"/>
      </w:pPr>
      <w:r>
        <w:rPr>
          <w:rFonts w:ascii="Times New Roman" w:cs="Times New Roman" w:eastAsia="Times New Roman" w:hAnsi="Times New Roman"/>
          <w:sz w:val="24"/>
          <w:szCs w:val="24"/>
        </w:rPr>
        <w:t xml:space="preserve">a) las entidades financieras;</w:t>
      </w:r>
    </w:p>
    <w:p>
      <w:pPr>
        <w:spacing w:after="120" w:line="360"/>
        <w:ind w:left="709" w:hanging="340"/>
        <w:jc w:val="both"/>
      </w:pPr>
      <w:r>
        <w:rPr>
          <w:rFonts w:ascii="Times New Roman" w:cs="Times New Roman" w:eastAsia="Times New Roman" w:hAnsi="Times New Roman"/>
          <w:sz w:val="24"/>
          <w:szCs w:val="24"/>
        </w:rPr>
        <w:t xml:space="preserve">b) las emisoras, administradoras y proveedoras de tarjetas de crédito, compra o instrumentos equivalentes;</w:t>
      </w:r>
    </w:p>
    <w:p>
      <w:pPr>
        <w:spacing w:after="120" w:line="360"/>
        <w:ind w:left="709" w:hanging="340"/>
        <w:jc w:val="both"/>
      </w:pPr>
      <w:r>
        <w:rPr>
          <w:rFonts w:ascii="Times New Roman" w:cs="Times New Roman" w:eastAsia="Times New Roman" w:hAnsi="Times New Roman"/>
          <w:sz w:val="24"/>
          <w:szCs w:val="24"/>
        </w:rPr>
        <w:t xml:space="preserve">c) los proveedores no financieros de crédito;</w:t>
      </w:r>
    </w:p>
    <w:p>
      <w:pPr>
        <w:spacing w:after="120" w:line="360"/>
        <w:ind w:left="709" w:hanging="340"/>
        <w:jc w:val="both"/>
      </w:pPr>
      <w:r>
        <w:rPr>
          <w:rFonts w:ascii="Times New Roman" w:cs="Times New Roman" w:eastAsia="Times New Roman" w:hAnsi="Times New Roman"/>
          <w:sz w:val="24"/>
          <w:szCs w:val="24"/>
        </w:rPr>
        <w:t xml:space="preserve">d) los proveedores de servicios de pago que ofrezcan financiación;</w:t>
      </w:r>
    </w:p>
    <w:p>
      <w:pPr>
        <w:spacing w:after="120" w:line="360"/>
        <w:ind w:left="709" w:hanging="340"/>
        <w:jc w:val="both"/>
      </w:pPr>
      <w:r>
        <w:rPr>
          <w:rFonts w:ascii="Times New Roman" w:cs="Times New Roman" w:eastAsia="Times New Roman" w:hAnsi="Times New Roman"/>
          <w:sz w:val="24"/>
          <w:szCs w:val="24"/>
        </w:rPr>
        <w:t xml:space="preserve">e) las plataformas fintech, de crédito entre particulares, de pago diferido o de compra ahora y pago después;</w:t>
      </w:r>
    </w:p>
    <w:p>
      <w:pPr>
        <w:spacing w:after="120" w:line="360"/>
        <w:ind w:left="709" w:hanging="340"/>
        <w:jc w:val="both"/>
      </w:pPr>
      <w:r>
        <w:rPr>
          <w:rFonts w:ascii="Times New Roman" w:cs="Times New Roman" w:eastAsia="Times New Roman" w:hAnsi="Times New Roman"/>
          <w:sz w:val="24"/>
          <w:szCs w:val="24"/>
        </w:rPr>
        <w:t xml:space="preserve">f) las mutuales, cooperativas, comercios y plataformas que otorguen crédito de manera habitual o accesoria;</w:t>
      </w:r>
    </w:p>
    <w:p>
      <w:pPr>
        <w:spacing w:after="120" w:line="360"/>
        <w:ind w:left="709" w:hanging="340"/>
        <w:jc w:val="both"/>
      </w:pPr>
      <w:r>
        <w:rPr>
          <w:rFonts w:ascii="Times New Roman" w:cs="Times New Roman" w:eastAsia="Times New Roman" w:hAnsi="Times New Roman"/>
          <w:sz w:val="24"/>
          <w:szCs w:val="24"/>
        </w:rPr>
        <w:t xml:space="preserve">g) los cesionarios, fideicomisos, administradores de cartera, mandatarios y empresas de cobranza; y</w:t>
      </w:r>
    </w:p>
    <w:p>
      <w:pPr>
        <w:spacing w:after="120" w:line="360"/>
        <w:ind w:left="709" w:hanging="340"/>
        <w:jc w:val="both"/>
      </w:pPr>
      <w:r>
        <w:rPr>
          <w:rFonts w:ascii="Times New Roman" w:cs="Times New Roman" w:eastAsia="Times New Roman" w:hAnsi="Times New Roman"/>
          <w:sz w:val="24"/>
          <w:szCs w:val="24"/>
        </w:rPr>
        <w:t xml:space="preserve">h) todo otro sujeto que otorgue, intermedie, administre, adquiera o cobre créditos comprendidos.</w:t>
      </w:r>
    </w:p>
    <w:p>
      <w:pPr>
        <w:spacing w:after="140" w:line="360"/>
        <w:jc w:val="both"/>
      </w:pPr>
      <w:r>
        <w:rPr>
          <w:rFonts w:ascii="Times New Roman" w:cs="Times New Roman" w:eastAsia="Times New Roman" w:hAnsi="Times New Roman"/>
          <w:sz w:val="24"/>
          <w:szCs w:val="24"/>
        </w:rPr>
        <w:t xml:space="preserve">La cesión, titulización o transferencia del crédito no altera los derechos de la persona deudora ni permite eludir esta ley.</w:t>
      </w:r>
    </w:p>
    <w:p>
      <w:pPr>
        <w:keepNext/>
        <w:spacing w:after="80" w:before="220" w:line="360"/>
        <w:jc w:val="left"/>
      </w:pPr>
      <w:r>
        <w:rPr>
          <w:rFonts w:ascii="Times New Roman" w:cs="Times New Roman" w:eastAsia="Times New Roman" w:hAnsi="Times New Roman"/>
          <w:b/>
          <w:bCs/>
          <w:sz w:val="24"/>
          <w:szCs w:val="24"/>
        </w:rPr>
        <w:t xml:space="preserve">Artículo 3° — Definiciones</w:t>
      </w:r>
    </w:p>
    <w:p>
      <w:pPr>
        <w:spacing w:after="140" w:line="360"/>
        <w:jc w:val="both"/>
      </w:pPr>
      <w:r>
        <w:rPr>
          <w:rFonts w:ascii="Times New Roman" w:cs="Times New Roman" w:eastAsia="Times New Roman" w:hAnsi="Times New Roman"/>
          <w:sz w:val="24"/>
          <w:szCs w:val="24"/>
        </w:rPr>
        <w:t xml:space="preserve">A los fines de esta ley se entiende por:</w:t>
      </w:r>
    </w:p>
    <w:p>
      <w:pPr>
        <w:spacing w:after="120" w:line="360"/>
        <w:ind w:left="709" w:hanging="34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crédito para consumo:</w:t>
      </w:r>
      <w:r>
        <w:rPr>
          <w:rFonts w:ascii="Times New Roman" w:cs="Times New Roman" w:eastAsia="Times New Roman" w:hAnsi="Times New Roman"/>
          <w:sz w:val="24"/>
          <w:szCs w:val="24"/>
        </w:rPr>
        <w:t xml:space="preserve"> toda financiación, préstamo, adelanto, saldo de tarjeta, pago diferido, refinanciación o facilidad equivalente destinada predominantemente a necesidades personales, familiares o del hogar;</w:t>
      </w:r>
    </w:p>
    <w:p>
      <w:pPr>
        <w:spacing w:after="120" w:line="360"/>
        <w:ind w:left="709" w:hanging="34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hogar:</w:t>
      </w:r>
      <w:r>
        <w:rPr>
          <w:rFonts w:ascii="Times New Roman" w:cs="Times New Roman" w:eastAsia="Times New Roman" w:hAnsi="Times New Roman"/>
          <w:sz w:val="24"/>
          <w:szCs w:val="24"/>
        </w:rPr>
        <w:t xml:space="preserve"> la persona sola o el conjunto de personas que comparten vivienda y presupuesto de subsistencia, sin que la integración de ingresos implique solidaridad por deudas ajenas;</w:t>
      </w:r>
    </w:p>
    <w:p>
      <w:pPr>
        <w:spacing w:after="120" w:line="360"/>
        <w:ind w:left="709" w:hanging="34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sobreendeudamiento:</w:t>
      </w:r>
      <w:r>
        <w:rPr>
          <w:rFonts w:ascii="Times New Roman" w:cs="Times New Roman" w:eastAsia="Times New Roman" w:hAnsi="Times New Roman"/>
          <w:sz w:val="24"/>
          <w:szCs w:val="24"/>
        </w:rPr>
        <w:t xml:space="preserve"> la imposibilidad actual o razonablemente previsible de cumplir regularmente las obligaciones sin afectar el mínimo vital del hogar;</w:t>
      </w:r>
    </w:p>
    <w:p>
      <w:pPr>
        <w:spacing w:after="120" w:line="360"/>
        <w:ind w:left="709" w:hanging="34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insolvencia personal:</w:t>
      </w:r>
      <w:r>
        <w:rPr>
          <w:rFonts w:ascii="Times New Roman" w:cs="Times New Roman" w:eastAsia="Times New Roman" w:hAnsi="Times New Roman"/>
          <w:sz w:val="24"/>
          <w:szCs w:val="24"/>
        </w:rPr>
        <w:t xml:space="preserve"> la imposibilidad de afrontar regularmente las obligaciones exigibles con los ingresos y bienes realizables no protegidos;</w:t>
      </w:r>
    </w:p>
    <w:p>
      <w:pPr>
        <w:spacing w:after="120" w:line="360"/>
        <w:ind w:left="709" w:hanging="34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costo financiero total efectivo anual —CFTEA—:</w:t>
      </w:r>
      <w:r>
        <w:rPr>
          <w:rFonts w:ascii="Times New Roman" w:cs="Times New Roman" w:eastAsia="Times New Roman" w:hAnsi="Times New Roman"/>
          <w:sz w:val="24"/>
          <w:szCs w:val="24"/>
        </w:rPr>
        <w:t xml:space="preserve"> el costo total de la financiación expresado como tasa efectiva anual, incluidos intereses, comisiones, seguros obligatorios, cargos, impuestos y todo concepto exigido para obtener o mantener el crédito;</w:t>
      </w:r>
    </w:p>
    <w:p>
      <w:pPr>
        <w:spacing w:after="120" w:line="360"/>
        <w:ind w:left="709" w:hanging="34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b/>
          <w:bCs/>
          <w:sz w:val="24"/>
          <w:szCs w:val="24"/>
        </w:rPr>
        <w:t xml:space="preserve">servicio de deuda:</w:t>
      </w:r>
      <w:r>
        <w:rPr>
          <w:rFonts w:ascii="Times New Roman" w:cs="Times New Roman" w:eastAsia="Times New Roman" w:hAnsi="Times New Roman"/>
          <w:sz w:val="24"/>
          <w:szCs w:val="24"/>
        </w:rPr>
        <w:t xml:space="preserve"> suma mensual de capital, intereses, comisiones, seguros y demás pagos obligatorios de todas las financiaciones;</w:t>
      </w:r>
    </w:p>
    <w:p>
      <w:pPr>
        <w:spacing w:after="120" w:line="360"/>
        <w:ind w:left="709" w:hanging="34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b/>
          <w:bCs/>
          <w:sz w:val="24"/>
          <w:szCs w:val="24"/>
        </w:rPr>
        <w:t xml:space="preserve">ingreso neto computable del hogar —INCH—:</w:t>
      </w:r>
      <w:r>
        <w:rPr>
          <w:rFonts w:ascii="Times New Roman" w:cs="Times New Roman" w:eastAsia="Times New Roman" w:hAnsi="Times New Roman"/>
          <w:sz w:val="24"/>
          <w:szCs w:val="24"/>
        </w:rPr>
        <w:t xml:space="preserve"> ingreso mensual regular y razonablemente verificable, luego de deducciones legales obligatorias, calculado según el Anexo I;</w:t>
      </w:r>
    </w:p>
    <w:p>
      <w:pPr>
        <w:spacing w:after="120" w:line="360"/>
        <w:ind w:left="709" w:hanging="34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b/>
          <w:bCs/>
          <w:sz w:val="24"/>
          <w:szCs w:val="24"/>
        </w:rPr>
        <w:t xml:space="preserve">mínimo vital del hogar —MVH—:</w:t>
      </w:r>
      <w:r>
        <w:rPr>
          <w:rFonts w:ascii="Times New Roman" w:cs="Times New Roman" w:eastAsia="Times New Roman" w:hAnsi="Times New Roman"/>
          <w:sz w:val="24"/>
          <w:szCs w:val="24"/>
        </w:rPr>
        <w:t xml:space="preserve"> recursos indispensables para alimentación, vivienda, servicios esenciales, salud, cuidado, educación, transporte y trabajo, calculados según el Anexo I;</w:t>
      </w:r>
    </w:p>
    <w:p>
      <w:pPr>
        <w:spacing w:after="120" w:line="360"/>
        <w:ind w:left="709" w:hanging="34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capacidad mensual de pago —CMP—:</w:t>
      </w:r>
      <w:r>
        <w:rPr>
          <w:rFonts w:ascii="Times New Roman" w:cs="Times New Roman" w:eastAsia="Times New Roman" w:hAnsi="Times New Roman"/>
          <w:sz w:val="24"/>
          <w:szCs w:val="24"/>
        </w:rPr>
        <w:t xml:space="preserve"> monto que puede destinarse sosteniblemente a las deudas sin vulnerar el MVH, calculado según el Anexo I;</w:t>
      </w:r>
    </w:p>
    <w:p>
      <w:pPr>
        <w:spacing w:after="120" w:line="360"/>
        <w:ind w:left="709" w:hanging="340"/>
        <w:jc w:val="both"/>
      </w:pPr>
      <w:r>
        <w:rPr>
          <w:rFonts w:ascii="Times New Roman" w:cs="Times New Roman" w:eastAsia="Times New Roman" w:hAnsi="Times New Roman"/>
          <w:sz w:val="24"/>
          <w:szCs w:val="24"/>
        </w:rPr>
        <w:t xml:space="preserve">j) </w:t>
      </w:r>
      <w:r>
        <w:rPr>
          <w:rFonts w:ascii="Times New Roman" w:cs="Times New Roman" w:eastAsia="Times New Roman" w:hAnsi="Times New Roman"/>
          <w:b/>
          <w:bCs/>
          <w:sz w:val="24"/>
          <w:szCs w:val="24"/>
        </w:rPr>
        <w:t xml:space="preserve">persona vulnerable:</w:t>
      </w:r>
      <w:r>
        <w:rPr>
          <w:rFonts w:ascii="Times New Roman" w:cs="Times New Roman" w:eastAsia="Times New Roman" w:hAnsi="Times New Roman"/>
          <w:sz w:val="24"/>
          <w:szCs w:val="24"/>
        </w:rPr>
        <w:t xml:space="preserve"> quien requiera tutela reforzada por edad, discapacidad, enfermedad grave, desempleo, violencia económica o de género, monoparentalidad, tareas intensivas de cuidado, ingresos bajos, residencia en barrio popular u otra circunstancia equivalente;</w:t>
      </w:r>
    </w:p>
    <w:p>
      <w:pPr>
        <w:spacing w:after="120" w:line="360"/>
        <w:ind w:left="709" w:hanging="340"/>
        <w:jc w:val="both"/>
      </w:pPr>
      <w:r>
        <w:rPr>
          <w:rFonts w:ascii="Times New Roman" w:cs="Times New Roman" w:eastAsia="Times New Roman" w:hAnsi="Times New Roman"/>
          <w:sz w:val="24"/>
          <w:szCs w:val="24"/>
        </w:rPr>
        <w:t xml:space="preserve">k) </w:t>
      </w:r>
      <w:r>
        <w:rPr>
          <w:rFonts w:ascii="Times New Roman" w:cs="Times New Roman" w:eastAsia="Times New Roman" w:hAnsi="Times New Roman"/>
          <w:b/>
          <w:bCs/>
          <w:sz w:val="24"/>
          <w:szCs w:val="24"/>
        </w:rPr>
        <w:t xml:space="preserve">acreedor vinculado:</w:t>
      </w:r>
      <w:r>
        <w:rPr>
          <w:rFonts w:ascii="Times New Roman" w:cs="Times New Roman" w:eastAsia="Times New Roman" w:hAnsi="Times New Roman"/>
          <w:sz w:val="24"/>
          <w:szCs w:val="24"/>
        </w:rPr>
        <w:t xml:space="preserve"> quien controle, sea controlado por, comparta control o actúe coordinadamente con otro acreedor; y</w:t>
      </w:r>
    </w:p>
    <w:p>
      <w:pPr>
        <w:spacing w:after="120" w:line="360"/>
        <w:ind w:left="709" w:hanging="340"/>
        <w:jc w:val="both"/>
      </w:pPr>
      <w:r>
        <w:rPr>
          <w:rFonts w:ascii="Times New Roman" w:cs="Times New Roman" w:eastAsia="Times New Roman" w:hAnsi="Times New Roman"/>
          <w:sz w:val="24"/>
          <w:szCs w:val="24"/>
        </w:rPr>
        <w:t xml:space="preserve">l) </w:t>
      </w:r>
      <w:r>
        <w:rPr>
          <w:rFonts w:ascii="Times New Roman" w:cs="Times New Roman" w:eastAsia="Times New Roman" w:hAnsi="Times New Roman"/>
          <w:b/>
          <w:bCs/>
          <w:sz w:val="24"/>
          <w:szCs w:val="24"/>
        </w:rPr>
        <w:t xml:space="preserve">deuda auditada:</w:t>
      </w:r>
      <w:r>
        <w:rPr>
          <w:rFonts w:ascii="Times New Roman" w:cs="Times New Roman" w:eastAsia="Times New Roman" w:hAnsi="Times New Roman"/>
          <w:sz w:val="24"/>
          <w:szCs w:val="24"/>
        </w:rPr>
        <w:t xml:space="preserve"> capital efectivamente desembolsado o financiado, menos pagos imputables, cargos ilegales, conceptos no acreditados e intereses o capitalizaciones contrarios a la ley.</w:t>
      </w:r>
    </w:p>
    <w:p>
      <w:pPr>
        <w:keepNext/>
        <w:spacing w:after="80" w:before="220" w:line="360"/>
        <w:jc w:val="left"/>
      </w:pPr>
      <w:r>
        <w:rPr>
          <w:rFonts w:ascii="Times New Roman" w:cs="Times New Roman" w:eastAsia="Times New Roman" w:hAnsi="Times New Roman"/>
          <w:b/>
          <w:bCs/>
          <w:sz w:val="24"/>
          <w:szCs w:val="24"/>
        </w:rPr>
        <w:t xml:space="preserve">Artículo 4° — Principios</w:t>
      </w:r>
    </w:p>
    <w:p>
      <w:pPr>
        <w:spacing w:after="140" w:line="360"/>
        <w:jc w:val="both"/>
      </w:pPr>
      <w:r>
        <w:rPr>
          <w:rFonts w:ascii="Times New Roman" w:cs="Times New Roman" w:eastAsia="Times New Roman" w:hAnsi="Times New Roman"/>
          <w:sz w:val="24"/>
          <w:szCs w:val="24"/>
        </w:rPr>
        <w:t xml:space="preserve">La interpretación y aplicación de esta ley se rige por los principios de dignidad humana, protección de los intereses económicos del consumidor, información adecuada, crédito responsable, buena fe, prevención, proporcionalidad, conservación razonable del crédito, tutela judicial efectiva, menor sacrificio, no discriminación, protección de datos, gratuidad, celeridad y solución más favorable a la persona consumidora.</w:t>
      </w:r>
    </w:p>
    <w:p>
      <w:pPr>
        <w:spacing w:after="140" w:line="360"/>
        <w:jc w:val="both"/>
      </w:pPr>
      <w:r>
        <w:rPr>
          <w:rFonts w:ascii="Times New Roman" w:cs="Times New Roman" w:eastAsia="Times New Roman" w:hAnsi="Times New Roman"/>
          <w:sz w:val="24"/>
          <w:szCs w:val="24"/>
        </w:rPr>
        <w:t xml:space="preserve">La educación financiera complementa, pero no reemplaza, las obligaciones profesionales del proveedor.</w:t>
      </w:r>
    </w:p>
    <w:p>
      <w:pPr>
        <w:keepNext/>
        <w:spacing w:after="80" w:before="220" w:line="360"/>
        <w:jc w:val="left"/>
      </w:pPr>
      <w:r>
        <w:rPr>
          <w:rFonts w:ascii="Times New Roman" w:cs="Times New Roman" w:eastAsia="Times New Roman" w:hAnsi="Times New Roman"/>
          <w:b/>
          <w:bCs/>
          <w:sz w:val="24"/>
          <w:szCs w:val="24"/>
        </w:rPr>
        <w:t xml:space="preserve">Artículo 5° — Buena fe</w:t>
      </w:r>
    </w:p>
    <w:p>
      <w:pPr>
        <w:spacing w:after="140" w:line="360"/>
        <w:jc w:val="both"/>
      </w:pPr>
      <w:r>
        <w:rPr>
          <w:rFonts w:ascii="Times New Roman" w:cs="Times New Roman" w:eastAsia="Times New Roman" w:hAnsi="Times New Roman"/>
          <w:sz w:val="24"/>
          <w:szCs w:val="24"/>
        </w:rPr>
        <w:t xml:space="preserve">La buena fe de la persona deudora se presume. Quien alegue fraude, ocultamiento doloso o contratación sin intención de pago debe probarlo mediante hechos concretos. La mera mora, refinanciación, pluralidad de acreedores, desempleo, enfermedad o disminución de ingresos no constituye mala fe.</w:t>
      </w:r>
    </w:p>
    <w:p>
      <w:pPr>
        <w:keepNext/>
        <w:spacing w:after="80" w:before="220" w:line="360"/>
        <w:jc w:val="left"/>
      </w:pPr>
      <w:r>
        <w:rPr>
          <w:rFonts w:ascii="Times New Roman" w:cs="Times New Roman" w:eastAsia="Times New Roman" w:hAnsi="Times New Roman"/>
          <w:b/>
          <w:bCs/>
          <w:sz w:val="24"/>
          <w:szCs w:val="24"/>
        </w:rPr>
        <w:t xml:space="preserve">Artículo 6° — Perspectiva del hogar</w:t>
      </w:r>
    </w:p>
    <w:p>
      <w:pPr>
        <w:spacing w:after="140" w:line="360"/>
        <w:jc w:val="both"/>
      </w:pPr>
      <w:r>
        <w:rPr>
          <w:rFonts w:ascii="Times New Roman" w:cs="Times New Roman" w:eastAsia="Times New Roman" w:hAnsi="Times New Roman"/>
          <w:sz w:val="24"/>
          <w:szCs w:val="24"/>
        </w:rPr>
        <w:t xml:space="preserve">La capacidad de pago se determina considerando la composición y necesidades del hogar. Los ingresos de una persona conviviente sólo se computan con su consentimiento y no la convierten en codeudora ni afectan sus bienes.</w:t>
      </w:r>
    </w:p>
    <w:p>
      <w:pPr>
        <w:spacing w:after="140" w:line="360"/>
        <w:jc w:val="both"/>
      </w:pPr>
      <w:r>
        <w:rPr>
          <w:rFonts w:ascii="Times New Roman" w:cs="Times New Roman" w:eastAsia="Times New Roman" w:hAnsi="Times New Roman"/>
          <w:sz w:val="24"/>
          <w:szCs w:val="24"/>
        </w:rPr>
        <w:t xml:space="preserve">Las personas cónyuges o convivientes pueden solicitar un trámite conjunto cuando compartan deudas o presupuesto, sin perder su individualidad patrimonial.</w:t>
      </w:r>
    </w:p>
    <w:p>
      <w:pPr>
        <w:keepNext/>
        <w:spacing w:after="80" w:before="220" w:line="360"/>
        <w:jc w:val="left"/>
      </w:pPr>
      <w:r>
        <w:rPr>
          <w:rFonts w:ascii="Times New Roman" w:cs="Times New Roman" w:eastAsia="Times New Roman" w:hAnsi="Times New Roman"/>
          <w:b/>
          <w:bCs/>
          <w:sz w:val="24"/>
          <w:szCs w:val="24"/>
        </w:rPr>
        <w:t xml:space="preserve">Artículo 7° — Orden público</w:t>
      </w:r>
    </w:p>
    <w:p>
      <w:pPr>
        <w:spacing w:after="140" w:line="360"/>
        <w:jc w:val="both"/>
      </w:pPr>
      <w:r>
        <w:rPr>
          <w:rFonts w:ascii="Times New Roman" w:cs="Times New Roman" w:eastAsia="Times New Roman" w:hAnsi="Times New Roman"/>
          <w:sz w:val="24"/>
          <w:szCs w:val="24"/>
        </w:rPr>
        <w:t xml:space="preserve">Las disposiciones de esta ley son de orden público. Es nula toda renuncia anticipada, elección de jurisdicción, mandato irrevocable, débito compulsivo o cláusula que limite los derechos aquí reconocidos.</w:t>
      </w:r>
    </w:p>
    <w:p>
      <w:pPr>
        <w:keepNext/>
        <w:spacing w:after="80" w:before="220" w:line="360"/>
        <w:jc w:val="left"/>
      </w:pPr>
      <w:r>
        <w:rPr>
          <w:rFonts w:ascii="Times New Roman" w:cs="Times New Roman" w:eastAsia="Times New Roman" w:hAnsi="Times New Roman"/>
          <w:b/>
          <w:bCs/>
          <w:sz w:val="24"/>
          <w:szCs w:val="24"/>
        </w:rPr>
        <w:t xml:space="preserve">Artículo 8° — Integración normativa</w:t>
      </w:r>
    </w:p>
    <w:p>
      <w:pPr>
        <w:spacing w:after="140" w:line="360"/>
        <w:jc w:val="both"/>
      </w:pPr>
      <w:r>
        <w:rPr>
          <w:rFonts w:ascii="Times New Roman" w:cs="Times New Roman" w:eastAsia="Times New Roman" w:hAnsi="Times New Roman"/>
          <w:sz w:val="24"/>
          <w:szCs w:val="24"/>
        </w:rPr>
        <w:t xml:space="preserve">Esta ley complementa la Constitución Nacional, el Código Civil y Comercial de la Nación, las leyes 24.240, 25.065, 25.326, 26.993 y 24.522, y las normas que las modifiquen o reemplacen. En caso de concurrencia prevalece la solución más favorable a la persona consumidora, salvo las reglas específicas de garantías reales expresamente preservadas.</w:t>
      </w:r>
    </w:p>
    <w:p>
      <w:pPr>
        <w:keepNext/>
        <w:spacing w:after="160" w:before="300" w:line="360"/>
        <w:jc w:val="center"/>
      </w:pPr>
      <w:r>
        <w:rPr>
          <w:rFonts w:ascii="Times New Roman" w:cs="Times New Roman" w:eastAsia="Times New Roman" w:hAnsi="Times New Roman"/>
          <w:b/>
          <w:bCs/>
          <w:sz w:val="25"/>
          <w:szCs w:val="25"/>
        </w:rPr>
        <w:t xml:space="preserve">TÍTULO II — CRÉDITO RESPONSABLE Y COSTO JUSTO</w:t>
      </w:r>
    </w:p>
    <w:p>
      <w:pPr>
        <w:keepNext/>
        <w:spacing w:after="80" w:before="220" w:line="360"/>
        <w:jc w:val="left"/>
      </w:pPr>
      <w:r>
        <w:rPr>
          <w:rFonts w:ascii="Times New Roman" w:cs="Times New Roman" w:eastAsia="Times New Roman" w:hAnsi="Times New Roman"/>
          <w:b/>
          <w:bCs/>
          <w:sz w:val="24"/>
          <w:szCs w:val="24"/>
        </w:rPr>
        <w:t xml:space="preserve">Artículo 9° — Evaluación previa de capacidad de pago</w:t>
      </w:r>
    </w:p>
    <w:p>
      <w:pPr>
        <w:spacing w:after="140" w:line="360"/>
        <w:jc w:val="both"/>
      </w:pPr>
      <w:r>
        <w:rPr>
          <w:rFonts w:ascii="Times New Roman" w:cs="Times New Roman" w:eastAsia="Times New Roman" w:hAnsi="Times New Roman"/>
          <w:sz w:val="24"/>
          <w:szCs w:val="24"/>
        </w:rPr>
        <w:t xml:space="preserve">Antes de otorgar crédito, ampliar un límite o refinanciar con aumento del saldo o del costo, el proveedor debe evaluar de forma diligente, individual y documentada la capacidad real de pago de la persona solicitante.</w:t>
      </w:r>
    </w:p>
    <w:p>
      <w:pPr>
        <w:spacing w:after="140" w:line="360"/>
        <w:jc w:val="both"/>
      </w:pPr>
      <w:r>
        <w:rPr>
          <w:rFonts w:ascii="Times New Roman" w:cs="Times New Roman" w:eastAsia="Times New Roman" w:hAnsi="Times New Roman"/>
          <w:sz w:val="24"/>
          <w:szCs w:val="24"/>
        </w:rPr>
        <w:t xml:space="preserve">La evaluación debe considerar, de modo proporcional al monto y riesgo:</w:t>
      </w:r>
    </w:p>
    <w:p>
      <w:pPr>
        <w:spacing w:after="120" w:line="360"/>
        <w:ind w:left="709" w:hanging="340"/>
        <w:jc w:val="both"/>
      </w:pPr>
      <w:r>
        <w:rPr>
          <w:rFonts w:ascii="Times New Roman" w:cs="Times New Roman" w:eastAsia="Times New Roman" w:hAnsi="Times New Roman"/>
          <w:sz w:val="24"/>
          <w:szCs w:val="24"/>
        </w:rPr>
        <w:t xml:space="preserve">a) ingresos regulares registrados o acreditables por medios alternativos;</w:t>
      </w:r>
    </w:p>
    <w:p>
      <w:pPr>
        <w:spacing w:after="120" w:line="360"/>
        <w:ind w:left="709" w:hanging="340"/>
        <w:jc w:val="both"/>
      </w:pPr>
      <w:r>
        <w:rPr>
          <w:rFonts w:ascii="Times New Roman" w:cs="Times New Roman" w:eastAsia="Times New Roman" w:hAnsi="Times New Roman"/>
          <w:sz w:val="24"/>
          <w:szCs w:val="24"/>
        </w:rPr>
        <w:t xml:space="preserve">b) obligaciones vigentes con todos los proveedores alcanzados;</w:t>
      </w:r>
    </w:p>
    <w:p>
      <w:pPr>
        <w:spacing w:after="120" w:line="360"/>
        <w:ind w:left="709" w:hanging="340"/>
        <w:jc w:val="both"/>
      </w:pPr>
      <w:r>
        <w:rPr>
          <w:rFonts w:ascii="Times New Roman" w:cs="Times New Roman" w:eastAsia="Times New Roman" w:hAnsi="Times New Roman"/>
          <w:sz w:val="24"/>
          <w:szCs w:val="24"/>
        </w:rPr>
        <w:t xml:space="preserve">c) gastos esenciales, composición del hogar y personas a cargo;</w:t>
      </w:r>
    </w:p>
    <w:p>
      <w:pPr>
        <w:spacing w:after="120" w:line="360"/>
        <w:ind w:left="709" w:hanging="340"/>
        <w:jc w:val="both"/>
      </w:pPr>
      <w:r>
        <w:rPr>
          <w:rFonts w:ascii="Times New Roman" w:cs="Times New Roman" w:eastAsia="Times New Roman" w:hAnsi="Times New Roman"/>
          <w:sz w:val="24"/>
          <w:szCs w:val="24"/>
        </w:rPr>
        <w:t xml:space="preserve">d) plazo, moneda, tasa y variabilidad del crédito; y</w:t>
      </w:r>
    </w:p>
    <w:p>
      <w:pPr>
        <w:spacing w:after="120" w:line="360"/>
        <w:ind w:left="709" w:hanging="340"/>
        <w:jc w:val="both"/>
      </w:pPr>
      <w:r>
        <w:rPr>
          <w:rFonts w:ascii="Times New Roman" w:cs="Times New Roman" w:eastAsia="Times New Roman" w:hAnsi="Times New Roman"/>
          <w:sz w:val="24"/>
          <w:szCs w:val="24"/>
        </w:rPr>
        <w:t xml:space="preserve">e) posibles variaciones razonables de ingresos, cuotas y gastos esenciales.</w:t>
      </w:r>
    </w:p>
    <w:p>
      <w:pPr>
        <w:spacing w:after="140" w:line="360"/>
        <w:jc w:val="both"/>
      </w:pPr>
      <w:r>
        <w:rPr>
          <w:rFonts w:ascii="Times New Roman" w:cs="Times New Roman" w:eastAsia="Times New Roman" w:hAnsi="Times New Roman"/>
          <w:sz w:val="24"/>
          <w:szCs w:val="24"/>
        </w:rPr>
        <w:t xml:space="preserve">No basta la existencia de garantía, historial de pago o puntaje automatizado. El proveedor sólo puede otorgar el crédito si concluye fundadamente que es sostenible.</w:t>
      </w:r>
    </w:p>
    <w:p>
      <w:pPr>
        <w:keepNext/>
        <w:spacing w:after="80" w:before="220" w:line="360"/>
        <w:jc w:val="left"/>
      </w:pPr>
      <w:r>
        <w:rPr>
          <w:rFonts w:ascii="Times New Roman" w:cs="Times New Roman" w:eastAsia="Times New Roman" w:hAnsi="Times New Roman"/>
          <w:b/>
          <w:bCs/>
          <w:sz w:val="24"/>
          <w:szCs w:val="24"/>
        </w:rPr>
        <w:t xml:space="preserve">Artículo 10 — Inclusión y datos permitidos</w:t>
      </w:r>
    </w:p>
    <w:p>
      <w:pPr>
        <w:spacing w:after="140" w:line="360"/>
        <w:jc w:val="both"/>
      </w:pPr>
      <w:r>
        <w:rPr>
          <w:rFonts w:ascii="Times New Roman" w:cs="Times New Roman" w:eastAsia="Times New Roman" w:hAnsi="Times New Roman"/>
          <w:sz w:val="24"/>
          <w:szCs w:val="24"/>
        </w:rPr>
        <w:t xml:space="preserve">La evaluación no puede excluir por sí sola a quien perciba ingresos informales, variables o de trabajo independiente. Deben admitirse constancias fiscales, movimientos de cuentas o billeteras, facturación, contratos, recibos, declaraciones juradas respaldadas y otros indicios lícitos y proporcionales.</w:t>
      </w:r>
    </w:p>
    <w:p>
      <w:pPr>
        <w:spacing w:after="140" w:line="360"/>
        <w:jc w:val="both"/>
      </w:pPr>
      <w:r>
        <w:rPr>
          <w:rFonts w:ascii="Times New Roman" w:cs="Times New Roman" w:eastAsia="Times New Roman" w:hAnsi="Times New Roman"/>
          <w:sz w:val="24"/>
          <w:szCs w:val="24"/>
        </w:rPr>
        <w:t xml:space="preserve">Se prohíbe utilizar datos de redes sociales, contactos, geolocalización no indispensable, salud, discapacidad, religión, opinión política, orientación sexual u otros datos sensibles para determinar solvencia o precio, salvo que una ley lo autorice en beneficio directo y a pedido de la persona.</w:t>
      </w:r>
    </w:p>
    <w:p>
      <w:pPr>
        <w:keepNext/>
        <w:spacing w:after="80" w:before="220" w:line="360"/>
        <w:jc w:val="left"/>
      </w:pPr>
      <w:r>
        <w:rPr>
          <w:rFonts w:ascii="Times New Roman" w:cs="Times New Roman" w:eastAsia="Times New Roman" w:hAnsi="Times New Roman"/>
          <w:b/>
          <w:bCs/>
          <w:sz w:val="24"/>
          <w:szCs w:val="24"/>
        </w:rPr>
        <w:t xml:space="preserve">Artículo 11 — Límites de asequibilidad al originar</w:t>
      </w:r>
    </w:p>
    <w:p>
      <w:pPr>
        <w:spacing w:after="140" w:line="360"/>
        <w:jc w:val="both"/>
      </w:pPr>
      <w:r>
        <w:rPr>
          <w:rFonts w:ascii="Times New Roman" w:cs="Times New Roman" w:eastAsia="Times New Roman" w:hAnsi="Times New Roman"/>
          <w:sz w:val="24"/>
          <w:szCs w:val="24"/>
        </w:rPr>
        <w:t xml:space="preserve">El nuevo crédito sólo puede otorgarse si, luego de su incorporación:</w:t>
      </w:r>
    </w:p>
    <w:p>
      <w:pPr>
        <w:spacing w:after="120" w:line="360"/>
        <w:ind w:left="709" w:hanging="340"/>
        <w:jc w:val="both"/>
      </w:pPr>
      <w:r>
        <w:rPr>
          <w:rFonts w:ascii="Times New Roman" w:cs="Times New Roman" w:eastAsia="Times New Roman" w:hAnsi="Times New Roman"/>
          <w:sz w:val="24"/>
          <w:szCs w:val="24"/>
        </w:rPr>
        <w:t xml:space="preserve">a) el servicio mensual total de deudas de consumo no supera el menor entre el veinticinco por ciento (25 %) del INCH y el sesenta por ciento (60 %) del excedente del INCH sobre el MVH; y</w:t>
      </w:r>
    </w:p>
    <w:p>
      <w:pPr>
        <w:spacing w:after="120" w:line="360"/>
        <w:ind w:left="709" w:hanging="340"/>
        <w:jc w:val="both"/>
      </w:pPr>
      <w:r>
        <w:rPr>
          <w:rFonts w:ascii="Times New Roman" w:cs="Times New Roman" w:eastAsia="Times New Roman" w:hAnsi="Times New Roman"/>
          <w:sz w:val="24"/>
          <w:szCs w:val="24"/>
        </w:rPr>
        <w:t xml:space="preserve">b) el servicio mensual de todas las deudas, incluidas las garantizadas, no supera el treinta y cinco por ciento (35 %) del INCH y preserva íntegramente el MVH.</w:t>
      </w:r>
    </w:p>
    <w:p>
      <w:pPr>
        <w:spacing w:after="140" w:line="360"/>
        <w:jc w:val="both"/>
      </w:pPr>
      <w:r>
        <w:rPr>
          <w:rFonts w:ascii="Times New Roman" w:cs="Times New Roman" w:eastAsia="Times New Roman" w:hAnsi="Times New Roman"/>
          <w:sz w:val="24"/>
          <w:szCs w:val="24"/>
        </w:rPr>
        <w:t xml:space="preserve">Cuando el ingreso sea variable se usa el promedio conservador de los últimos seis (6) meses o el período menor disponible, aplicando una reducción prudencial. En operaciones a tasa variable se realiza una prueba de tensión definida por el Banco Central de la República Argentina —BCRA—.</w:t>
      </w:r>
    </w:p>
    <w:p>
      <w:pPr>
        <w:keepNext/>
        <w:spacing w:after="80" w:before="220" w:line="360"/>
        <w:jc w:val="left"/>
      </w:pPr>
      <w:r>
        <w:rPr>
          <w:rFonts w:ascii="Times New Roman" w:cs="Times New Roman" w:eastAsia="Times New Roman" w:hAnsi="Times New Roman"/>
          <w:b/>
          <w:bCs/>
          <w:sz w:val="24"/>
          <w:szCs w:val="24"/>
        </w:rPr>
        <w:t xml:space="preserve">Artículo 12 — Refinanciación beneficiosa</w:t>
      </w:r>
    </w:p>
    <w:p>
      <w:pPr>
        <w:spacing w:after="140" w:line="360"/>
        <w:jc w:val="both"/>
      </w:pPr>
      <w:r>
        <w:rPr>
          <w:rFonts w:ascii="Times New Roman" w:cs="Times New Roman" w:eastAsia="Times New Roman" w:hAnsi="Times New Roman"/>
          <w:sz w:val="24"/>
          <w:szCs w:val="24"/>
        </w:rPr>
        <w:t xml:space="preserve">Los límites del artículo 11 no impiden una consolidación, portabilidad o refinanciación que, sin entregar fondos adicionales, reduzca simultáneamente la cuota, el CFTEA y el valor total actualizado a pagar. El proveedor debe demostrar cada reducción en una comparación estandarizada.</w:t>
      </w:r>
    </w:p>
    <w:p>
      <w:pPr>
        <w:spacing w:after="140" w:line="360"/>
        <w:jc w:val="both"/>
      </w:pPr>
      <w:r>
        <w:rPr>
          <w:rFonts w:ascii="Times New Roman" w:cs="Times New Roman" w:eastAsia="Times New Roman" w:hAnsi="Times New Roman"/>
          <w:sz w:val="24"/>
          <w:szCs w:val="24"/>
        </w:rPr>
        <w:t xml:space="preserve">No se admiten excepciones destinadas a financiar gastos de salud, alimentación o servicios esenciales cuando el repago resulte inasequible. La urgencia o vulnerabilidad nunca justifica un crédito predatorio.</w:t>
      </w:r>
    </w:p>
    <w:p>
      <w:pPr>
        <w:keepNext/>
        <w:spacing w:after="80" w:before="220" w:line="360"/>
        <w:jc w:val="left"/>
      </w:pPr>
      <w:r>
        <w:rPr>
          <w:rFonts w:ascii="Times New Roman" w:cs="Times New Roman" w:eastAsia="Times New Roman" w:hAnsi="Times New Roman"/>
          <w:b/>
          <w:bCs/>
          <w:sz w:val="24"/>
          <w:szCs w:val="24"/>
        </w:rPr>
        <w:t xml:space="preserve">Artículo 13 — Documentación y carga de la prueba</w:t>
      </w:r>
    </w:p>
    <w:p>
      <w:pPr>
        <w:spacing w:after="140" w:line="360"/>
        <w:jc w:val="both"/>
      </w:pPr>
      <w:r>
        <w:rPr>
          <w:rFonts w:ascii="Times New Roman" w:cs="Times New Roman" w:eastAsia="Times New Roman" w:hAnsi="Times New Roman"/>
          <w:sz w:val="24"/>
          <w:szCs w:val="24"/>
        </w:rPr>
        <w:t xml:space="preserve">El proveedor conserva durante toda la relación y cinco (5) años adicionales la información, fuentes, cálculo, decisión y versión del modelo utilizados. Ante controversia, le corresponde probar que evaluó la capacidad de pago, informó correctamente y respetó los límites.</w:t>
      </w:r>
    </w:p>
    <w:p>
      <w:pPr>
        <w:spacing w:after="140" w:line="360"/>
        <w:jc w:val="both"/>
      </w:pPr>
      <w:r>
        <w:rPr>
          <w:rFonts w:ascii="Times New Roman" w:cs="Times New Roman" w:eastAsia="Times New Roman" w:hAnsi="Times New Roman"/>
          <w:sz w:val="24"/>
          <w:szCs w:val="24"/>
        </w:rPr>
        <w:t xml:space="preserve">La falta de documentación genera presunción, salvo prueba en contrario, de otorgamiento irresponsable.</w:t>
      </w:r>
    </w:p>
    <w:p>
      <w:pPr>
        <w:keepNext/>
        <w:spacing w:after="80" w:before="220" w:line="360"/>
        <w:jc w:val="left"/>
      </w:pPr>
      <w:r>
        <w:rPr>
          <w:rFonts w:ascii="Times New Roman" w:cs="Times New Roman" w:eastAsia="Times New Roman" w:hAnsi="Times New Roman"/>
          <w:b/>
          <w:bCs/>
          <w:sz w:val="24"/>
          <w:szCs w:val="24"/>
        </w:rPr>
        <w:t xml:space="preserve">Artículo 14 — Decisiones automatizadas</w:t>
      </w:r>
    </w:p>
    <w:p>
      <w:pPr>
        <w:spacing w:after="140" w:line="360"/>
        <w:jc w:val="both"/>
      </w:pPr>
      <w:r>
        <w:rPr>
          <w:rFonts w:ascii="Times New Roman" w:cs="Times New Roman" w:eastAsia="Times New Roman" w:hAnsi="Times New Roman"/>
          <w:sz w:val="24"/>
          <w:szCs w:val="24"/>
        </w:rPr>
        <w:t xml:space="preserve">Toda persona tiene derecho a:</w:t>
      </w:r>
    </w:p>
    <w:p>
      <w:pPr>
        <w:spacing w:after="120" w:line="360"/>
        <w:ind w:left="709" w:hanging="340"/>
        <w:jc w:val="both"/>
      </w:pPr>
      <w:r>
        <w:rPr>
          <w:rFonts w:ascii="Times New Roman" w:cs="Times New Roman" w:eastAsia="Times New Roman" w:hAnsi="Times New Roman"/>
          <w:sz w:val="24"/>
          <w:szCs w:val="24"/>
        </w:rPr>
        <w:t xml:space="preserve">a) saber si una decisión relevante fue automatizada;</w:t>
      </w:r>
    </w:p>
    <w:p>
      <w:pPr>
        <w:spacing w:after="120" w:line="360"/>
        <w:ind w:left="709" w:hanging="340"/>
        <w:jc w:val="both"/>
      </w:pPr>
      <w:r>
        <w:rPr>
          <w:rFonts w:ascii="Times New Roman" w:cs="Times New Roman" w:eastAsia="Times New Roman" w:hAnsi="Times New Roman"/>
          <w:sz w:val="24"/>
          <w:szCs w:val="24"/>
        </w:rPr>
        <w:t xml:space="preserve">b) recibir explicación significativa y comprensible de las variables principales y de la razón concreta de la decisión;</w:t>
      </w:r>
    </w:p>
    <w:p>
      <w:pPr>
        <w:spacing w:after="120" w:line="360"/>
        <w:ind w:left="709" w:hanging="340"/>
        <w:jc w:val="both"/>
      </w:pPr>
      <w:r>
        <w:rPr>
          <w:rFonts w:ascii="Times New Roman" w:cs="Times New Roman" w:eastAsia="Times New Roman" w:hAnsi="Times New Roman"/>
          <w:sz w:val="24"/>
          <w:szCs w:val="24"/>
        </w:rPr>
        <w:t xml:space="preserve">c) corregir datos; y</w:t>
      </w:r>
    </w:p>
    <w:p>
      <w:pPr>
        <w:spacing w:after="120" w:line="360"/>
        <w:ind w:left="709" w:hanging="340"/>
        <w:jc w:val="both"/>
      </w:pPr>
      <w:r>
        <w:rPr>
          <w:rFonts w:ascii="Times New Roman" w:cs="Times New Roman" w:eastAsia="Times New Roman" w:hAnsi="Times New Roman"/>
          <w:sz w:val="24"/>
          <w:szCs w:val="24"/>
        </w:rPr>
        <w:t xml:space="preserve">d) obtener revisión humana gratuita y oportuna.</w:t>
      </w:r>
    </w:p>
    <w:p>
      <w:pPr>
        <w:spacing w:after="140" w:line="360"/>
        <w:jc w:val="both"/>
      </w:pPr>
      <w:r>
        <w:rPr>
          <w:rFonts w:ascii="Times New Roman" w:cs="Times New Roman" w:eastAsia="Times New Roman" w:hAnsi="Times New Roman"/>
          <w:sz w:val="24"/>
          <w:szCs w:val="24"/>
        </w:rPr>
        <w:t xml:space="preserve">Ninguna decisión desfavorable puede fundarse exclusivamente en un tratamiento automatizado prohibido por la Ley 25.326.</w:t>
      </w:r>
    </w:p>
    <w:p>
      <w:pPr>
        <w:keepNext/>
        <w:spacing w:after="80" w:before="220" w:line="360"/>
        <w:jc w:val="left"/>
      </w:pPr>
      <w:r>
        <w:rPr>
          <w:rFonts w:ascii="Times New Roman" w:cs="Times New Roman" w:eastAsia="Times New Roman" w:hAnsi="Times New Roman"/>
          <w:b/>
          <w:bCs/>
          <w:sz w:val="24"/>
          <w:szCs w:val="24"/>
        </w:rPr>
        <w:t xml:space="preserve">Artículo 15 — Ficha precontractual uniforme</w:t>
      </w:r>
    </w:p>
    <w:p>
      <w:pPr>
        <w:spacing w:after="140" w:line="360"/>
        <w:jc w:val="both"/>
      </w:pPr>
      <w:r>
        <w:rPr>
          <w:rFonts w:ascii="Times New Roman" w:cs="Times New Roman" w:eastAsia="Times New Roman" w:hAnsi="Times New Roman"/>
          <w:sz w:val="24"/>
          <w:szCs w:val="24"/>
        </w:rPr>
        <w:t xml:space="preserve">Antes de aceptar, el proveedor entrega gratuitamente, en soporte durable y en una página de lectura simple:</w:t>
      </w:r>
    </w:p>
    <w:p>
      <w:pPr>
        <w:spacing w:after="120" w:line="360"/>
        <w:ind w:left="709" w:hanging="340"/>
        <w:jc w:val="both"/>
      </w:pPr>
      <w:r>
        <w:rPr>
          <w:rFonts w:ascii="Times New Roman" w:cs="Times New Roman" w:eastAsia="Times New Roman" w:hAnsi="Times New Roman"/>
          <w:sz w:val="24"/>
          <w:szCs w:val="24"/>
        </w:rPr>
        <w:t xml:space="preserve">a) capital neto recibido;</w:t>
      </w:r>
    </w:p>
    <w:p>
      <w:pPr>
        <w:spacing w:after="120" w:line="360"/>
        <w:ind w:left="709" w:hanging="340"/>
        <w:jc w:val="both"/>
      </w:pPr>
      <w:r>
        <w:rPr>
          <w:rFonts w:ascii="Times New Roman" w:cs="Times New Roman" w:eastAsia="Times New Roman" w:hAnsi="Times New Roman"/>
          <w:sz w:val="24"/>
          <w:szCs w:val="24"/>
        </w:rPr>
        <w:t xml:space="preserve">b) CFTEA, tasa nominal y efectiva anual;</w:t>
      </w:r>
    </w:p>
    <w:p>
      <w:pPr>
        <w:spacing w:after="120" w:line="360"/>
        <w:ind w:left="709" w:hanging="340"/>
        <w:jc w:val="both"/>
      </w:pPr>
      <w:r>
        <w:rPr>
          <w:rFonts w:ascii="Times New Roman" w:cs="Times New Roman" w:eastAsia="Times New Roman" w:hAnsi="Times New Roman"/>
          <w:sz w:val="24"/>
          <w:szCs w:val="24"/>
        </w:rPr>
        <w:t xml:space="preserve">c) cantidad, monto y vencimiento de las cuotas;</w:t>
      </w:r>
    </w:p>
    <w:p>
      <w:pPr>
        <w:spacing w:after="120" w:line="360"/>
        <w:ind w:left="709" w:hanging="340"/>
        <w:jc w:val="both"/>
      </w:pPr>
      <w:r>
        <w:rPr>
          <w:rFonts w:ascii="Times New Roman" w:cs="Times New Roman" w:eastAsia="Times New Roman" w:hAnsi="Times New Roman"/>
          <w:sz w:val="24"/>
          <w:szCs w:val="24"/>
        </w:rPr>
        <w:t xml:space="preserve">d) monto total a pagar si se cumple en término;</w:t>
      </w:r>
    </w:p>
    <w:p>
      <w:pPr>
        <w:spacing w:after="120" w:line="360"/>
        <w:ind w:left="709" w:hanging="340"/>
        <w:jc w:val="both"/>
      </w:pPr>
      <w:r>
        <w:rPr>
          <w:rFonts w:ascii="Times New Roman" w:cs="Times New Roman" w:eastAsia="Times New Roman" w:hAnsi="Times New Roman"/>
          <w:sz w:val="24"/>
          <w:szCs w:val="24"/>
        </w:rPr>
        <w:t xml:space="preserve">e) todos los cargos y seguros, separando los optativos;</w:t>
      </w:r>
    </w:p>
    <w:p>
      <w:pPr>
        <w:spacing w:after="120" w:line="360"/>
        <w:ind w:left="709" w:hanging="340"/>
        <w:jc w:val="both"/>
      </w:pPr>
      <w:r>
        <w:rPr>
          <w:rFonts w:ascii="Times New Roman" w:cs="Times New Roman" w:eastAsia="Times New Roman" w:hAnsi="Times New Roman"/>
          <w:sz w:val="24"/>
          <w:szCs w:val="24"/>
        </w:rPr>
        <w:t xml:space="preserve">f) costo y efectos de la mora;</w:t>
      </w:r>
    </w:p>
    <w:p>
      <w:pPr>
        <w:spacing w:after="120" w:line="360"/>
        <w:ind w:left="709" w:hanging="340"/>
        <w:jc w:val="both"/>
      </w:pPr>
      <w:r>
        <w:rPr>
          <w:rFonts w:ascii="Times New Roman" w:cs="Times New Roman" w:eastAsia="Times New Roman" w:hAnsi="Times New Roman"/>
          <w:sz w:val="24"/>
          <w:szCs w:val="24"/>
        </w:rPr>
        <w:t xml:space="preserve">g) impacto del crédito sobre los límites del artículo 11;</w:t>
      </w:r>
    </w:p>
    <w:p>
      <w:pPr>
        <w:spacing w:after="120" w:line="360"/>
        <w:ind w:left="709" w:hanging="340"/>
        <w:jc w:val="both"/>
      </w:pPr>
      <w:r>
        <w:rPr>
          <w:rFonts w:ascii="Times New Roman" w:cs="Times New Roman" w:eastAsia="Times New Roman" w:hAnsi="Times New Roman"/>
          <w:sz w:val="24"/>
          <w:szCs w:val="24"/>
        </w:rPr>
        <w:t xml:space="preserve">h) comparación con la mediana publicada para producto, monto y plazo equivalentes;</w:t>
      </w:r>
    </w:p>
    <w:p>
      <w:pPr>
        <w:spacing w:after="120" w:line="360"/>
        <w:ind w:left="709" w:hanging="340"/>
        <w:jc w:val="both"/>
      </w:pPr>
      <w:r>
        <w:rPr>
          <w:rFonts w:ascii="Times New Roman" w:cs="Times New Roman" w:eastAsia="Times New Roman" w:hAnsi="Times New Roman"/>
          <w:sz w:val="24"/>
          <w:szCs w:val="24"/>
        </w:rPr>
        <w:t xml:space="preserve">i) derecho de revocación; y</w:t>
      </w:r>
    </w:p>
    <w:p>
      <w:pPr>
        <w:spacing w:after="120" w:line="360"/>
        <w:ind w:left="709" w:hanging="340"/>
        <w:jc w:val="both"/>
      </w:pPr>
      <w:r>
        <w:rPr>
          <w:rFonts w:ascii="Times New Roman" w:cs="Times New Roman" w:eastAsia="Times New Roman" w:hAnsi="Times New Roman"/>
          <w:sz w:val="24"/>
          <w:szCs w:val="24"/>
        </w:rPr>
        <w:t xml:space="preserve">j) canal de reclamo y de asistencia temprana.</w:t>
      </w:r>
    </w:p>
    <w:p>
      <w:pPr>
        <w:spacing w:after="140" w:line="360"/>
        <w:jc w:val="both"/>
      </w:pPr>
      <w:r>
        <w:rPr>
          <w:rFonts w:ascii="Times New Roman" w:cs="Times New Roman" w:eastAsia="Times New Roman" w:hAnsi="Times New Roman"/>
          <w:sz w:val="24"/>
          <w:szCs w:val="24"/>
        </w:rPr>
        <w:t xml:space="preserve">Las ofertas digitales deben mostrar esta ficha antes del último acto de aceptación, sin casillas premarcadas ni diseño manipulativo.</w:t>
      </w:r>
    </w:p>
    <w:p>
      <w:pPr>
        <w:keepNext/>
        <w:spacing w:after="80" w:before="220" w:line="360"/>
        <w:jc w:val="left"/>
      </w:pPr>
      <w:r>
        <w:rPr>
          <w:rFonts w:ascii="Times New Roman" w:cs="Times New Roman" w:eastAsia="Times New Roman" w:hAnsi="Times New Roman"/>
          <w:b/>
          <w:bCs/>
          <w:sz w:val="24"/>
          <w:szCs w:val="24"/>
        </w:rPr>
        <w:t xml:space="preserve">Artículo 16 — Crédito no solicitado y reflexión</w:t>
      </w:r>
    </w:p>
    <w:p>
      <w:pPr>
        <w:spacing w:after="140" w:line="360"/>
        <w:jc w:val="both"/>
      </w:pPr>
      <w:r>
        <w:rPr>
          <w:rFonts w:ascii="Times New Roman" w:cs="Times New Roman" w:eastAsia="Times New Roman" w:hAnsi="Times New Roman"/>
          <w:sz w:val="24"/>
          <w:szCs w:val="24"/>
        </w:rPr>
        <w:t xml:space="preserve">Se prohíbe desembolsar, activar o ampliar crédito sin pedido y consentimiento expreso. La persona puede revocar sin penalidad dentro de los diez (10) días hábiles de celebrado o de recibidos los fondos, lo que ocurra después, restituyendo el capital y el interés proporcional efectivamente devengado.</w:t>
      </w:r>
    </w:p>
    <w:p>
      <w:pPr>
        <w:spacing w:after="140" w:line="360"/>
        <w:jc w:val="both"/>
      </w:pPr>
      <w:r>
        <w:rPr>
          <w:rFonts w:ascii="Times New Roman" w:cs="Times New Roman" w:eastAsia="Times New Roman" w:hAnsi="Times New Roman"/>
          <w:sz w:val="24"/>
          <w:szCs w:val="24"/>
        </w:rPr>
        <w:t xml:space="preserve">En créditos digitales superiores a tres (3) Salarios Mínimos, Vitales y Móviles —SMVM— el desembolso no puede realizarse antes de veinticuatro (24) horas, salvo pedido posterior separado de la persona una vez recibida la ficha del artículo 15.</w:t>
      </w:r>
    </w:p>
    <w:p>
      <w:pPr>
        <w:keepNext/>
        <w:spacing w:after="80" w:before="220" w:line="360"/>
        <w:jc w:val="left"/>
      </w:pPr>
      <w:r>
        <w:rPr>
          <w:rFonts w:ascii="Times New Roman" w:cs="Times New Roman" w:eastAsia="Times New Roman" w:hAnsi="Times New Roman"/>
          <w:b/>
          <w:bCs/>
          <w:sz w:val="24"/>
          <w:szCs w:val="24"/>
        </w:rPr>
        <w:t xml:space="preserve">Artículo 17 — Referencia pública de costo</w:t>
      </w:r>
    </w:p>
    <w:p>
      <w:pPr>
        <w:spacing w:after="140" w:line="360"/>
        <w:jc w:val="both"/>
      </w:pPr>
      <w:r>
        <w:rPr>
          <w:rFonts w:ascii="Times New Roman" w:cs="Times New Roman" w:eastAsia="Times New Roman" w:hAnsi="Times New Roman"/>
          <w:sz w:val="24"/>
          <w:szCs w:val="24"/>
        </w:rPr>
        <w:t xml:space="preserve">El BCRA publica mensualmente la mediana y los percentiles 25, 75 y 90 del CFTEA de operaciones efectivamente originadas, por proveedor, producto, monto, plazo, canal y tipo de cliente, con metodología abierta y control de calidad.</w:t>
      </w:r>
    </w:p>
    <w:p>
      <w:pPr>
        <w:spacing w:after="140" w:line="360"/>
        <w:jc w:val="both"/>
      </w:pPr>
      <w:r>
        <w:rPr>
          <w:rFonts w:ascii="Times New Roman" w:cs="Times New Roman" w:eastAsia="Times New Roman" w:hAnsi="Times New Roman"/>
          <w:sz w:val="24"/>
          <w:szCs w:val="24"/>
        </w:rPr>
        <w:t xml:space="preserve">La Tasa de Referencia de Crédito al Consumo —TRCC— es la mediana del CFTEA del grupo comparable. La reglamentación debe impedir que cambios de composición, operaciones vinculadas o mercados de baja muestra distorsionen la referencia.</w:t>
      </w:r>
    </w:p>
    <w:p>
      <w:pPr>
        <w:keepNext/>
        <w:spacing w:after="80" w:before="220" w:line="360"/>
        <w:jc w:val="left"/>
      </w:pPr>
      <w:r>
        <w:rPr>
          <w:rFonts w:ascii="Times New Roman" w:cs="Times New Roman" w:eastAsia="Times New Roman" w:hAnsi="Times New Roman"/>
          <w:b/>
          <w:bCs/>
          <w:sz w:val="24"/>
          <w:szCs w:val="24"/>
        </w:rPr>
        <w:t xml:space="preserve">Artículo 18 — Límite máximo del costo</w:t>
      </w:r>
    </w:p>
    <w:p>
      <w:pPr>
        <w:spacing w:after="140" w:line="360"/>
        <w:jc w:val="both"/>
      </w:pPr>
      <w:r>
        <w:rPr>
          <w:rFonts w:ascii="Times New Roman" w:cs="Times New Roman" w:eastAsia="Times New Roman" w:hAnsi="Times New Roman"/>
          <w:sz w:val="24"/>
          <w:szCs w:val="24"/>
        </w:rPr>
        <w:t xml:space="preserve">El CFTEA de una nueva operación no puede superar una vez y media (1,5) la TRCC aplicable. El BCRA puede establecer multiplicadores menores, entre una vez y un cuarto (1,25) y una vez y media (1,5), con fundamento público en riesgo, costo operativo, competencia e inclusión. No puede elevar el máximo por reglamentación.</w:t>
      </w:r>
    </w:p>
    <w:p>
      <w:pPr>
        <w:spacing w:after="140" w:line="360"/>
        <w:jc w:val="both"/>
      </w:pPr>
      <w:r>
        <w:rPr>
          <w:rFonts w:ascii="Times New Roman" w:cs="Times New Roman" w:eastAsia="Times New Roman" w:hAnsi="Times New Roman"/>
          <w:sz w:val="24"/>
          <w:szCs w:val="24"/>
        </w:rPr>
        <w:t xml:space="preserve">Cuando no exista muestra suficiente, se aplica la referencia prudencial que establezca el BCRA sobre una base homogénea de tasa efectiva anual. El fraccionamiento, la denominación de cargos o la intervención de vinculadas no permiten superar el límite.</w:t>
      </w:r>
    </w:p>
    <w:p>
      <w:pPr>
        <w:keepNext/>
        <w:spacing w:after="80" w:before="220" w:line="360"/>
        <w:jc w:val="left"/>
      </w:pPr>
      <w:r>
        <w:rPr>
          <w:rFonts w:ascii="Times New Roman" w:cs="Times New Roman" w:eastAsia="Times New Roman" w:hAnsi="Times New Roman"/>
          <w:b/>
          <w:bCs/>
          <w:sz w:val="24"/>
          <w:szCs w:val="24"/>
        </w:rPr>
        <w:t xml:space="preserve">Artículo 19 — Tarjetas y crédito rotativo</w:t>
      </w:r>
    </w:p>
    <w:p>
      <w:pPr>
        <w:spacing w:after="140" w:line="360"/>
        <w:jc w:val="both"/>
      </w:pPr>
      <w:r>
        <w:rPr>
          <w:rFonts w:ascii="Times New Roman" w:cs="Times New Roman" w:eastAsia="Times New Roman" w:hAnsi="Times New Roman"/>
          <w:sz w:val="24"/>
          <w:szCs w:val="24"/>
        </w:rPr>
        <w:t xml:space="preserve">Además de la Ley 25.065:</w:t>
      </w:r>
    </w:p>
    <w:p>
      <w:pPr>
        <w:spacing w:after="120" w:line="360"/>
        <w:ind w:left="709" w:hanging="340"/>
        <w:jc w:val="both"/>
      </w:pPr>
      <w:r>
        <w:rPr>
          <w:rFonts w:ascii="Times New Roman" w:cs="Times New Roman" w:eastAsia="Times New Roman" w:hAnsi="Times New Roman"/>
          <w:sz w:val="24"/>
          <w:szCs w:val="24"/>
        </w:rPr>
        <w:t xml:space="preserve">a) el resumen debe indicar cuánto tiempo y cuánto dinero demandaría cancelar el saldo si sólo se abonara el pago mínimo y no hubiera consumos nuevos;</w:t>
      </w:r>
    </w:p>
    <w:p>
      <w:pPr>
        <w:spacing w:after="120" w:line="360"/>
        <w:ind w:left="709" w:hanging="340"/>
        <w:jc w:val="both"/>
      </w:pPr>
      <w:r>
        <w:rPr>
          <w:rFonts w:ascii="Times New Roman" w:cs="Times New Roman" w:eastAsia="Times New Roman" w:hAnsi="Times New Roman"/>
          <w:sz w:val="24"/>
          <w:szCs w:val="24"/>
        </w:rPr>
        <w:t xml:space="preserve">b) el pago mínimo debe cubrir como mínimo los intereses del período y una porción de capital determinada por el BCRA para evitar deuda perpetua, sin exceder la capacidad de pago conocida;</w:t>
      </w:r>
    </w:p>
    <w:p>
      <w:pPr>
        <w:spacing w:after="120" w:line="360"/>
        <w:ind w:left="709" w:hanging="340"/>
        <w:jc w:val="both"/>
      </w:pPr>
      <w:r>
        <w:rPr>
          <w:rFonts w:ascii="Times New Roman" w:cs="Times New Roman" w:eastAsia="Times New Roman" w:hAnsi="Times New Roman"/>
          <w:sz w:val="24"/>
          <w:szCs w:val="24"/>
        </w:rPr>
        <w:t xml:space="preserve">c) el interés punitorio no puede superar en más del cincuenta por ciento (50 %) la tasa compensatoria aplicable y no se capitaliza;</w:t>
      </w:r>
    </w:p>
    <w:p>
      <w:pPr>
        <w:spacing w:after="120" w:line="360"/>
        <w:ind w:left="709" w:hanging="340"/>
        <w:jc w:val="both"/>
      </w:pPr>
      <w:r>
        <w:rPr>
          <w:rFonts w:ascii="Times New Roman" w:cs="Times New Roman" w:eastAsia="Times New Roman" w:hAnsi="Times New Roman"/>
          <w:sz w:val="24"/>
          <w:szCs w:val="24"/>
        </w:rPr>
        <w:t xml:space="preserve">d) no pueden cobrarse cargos de gestión de mora no correspondientes a un servicio real, individualizado y razonable; y</w:t>
      </w:r>
    </w:p>
    <w:p>
      <w:pPr>
        <w:spacing w:after="120" w:line="360"/>
        <w:ind w:left="709" w:hanging="340"/>
        <w:jc w:val="both"/>
      </w:pPr>
      <w:r>
        <w:rPr>
          <w:rFonts w:ascii="Times New Roman" w:cs="Times New Roman" w:eastAsia="Times New Roman" w:hAnsi="Times New Roman"/>
          <w:sz w:val="24"/>
          <w:szCs w:val="24"/>
        </w:rPr>
        <w:t xml:space="preserve">e) toda ampliación sustancial de límite requiere nueva evaluación del artículo 9°.</w:t>
      </w:r>
    </w:p>
    <w:p>
      <w:pPr>
        <w:keepNext/>
        <w:spacing w:after="80" w:before="220" w:line="360"/>
        <w:jc w:val="left"/>
      </w:pPr>
      <w:r>
        <w:rPr>
          <w:rFonts w:ascii="Times New Roman" w:cs="Times New Roman" w:eastAsia="Times New Roman" w:hAnsi="Times New Roman"/>
          <w:b/>
          <w:bCs/>
          <w:sz w:val="24"/>
          <w:szCs w:val="24"/>
        </w:rPr>
        <w:t xml:space="preserve">Artículo 20 — Consecuencias del préstamo irresponsable</w:t>
      </w:r>
    </w:p>
    <w:p>
      <w:pPr>
        <w:spacing w:after="140" w:line="360"/>
        <w:jc w:val="both"/>
      </w:pPr>
      <w:r>
        <w:rPr>
          <w:rFonts w:ascii="Times New Roman" w:cs="Times New Roman" w:eastAsia="Times New Roman" w:hAnsi="Times New Roman"/>
          <w:sz w:val="24"/>
          <w:szCs w:val="24"/>
        </w:rPr>
        <w:t xml:space="preserve">El incumplimiento de los artículos 9° a 19 produce, según gravedad y relación causal:</w:t>
      </w:r>
    </w:p>
    <w:p>
      <w:pPr>
        <w:spacing w:after="120" w:line="360"/>
        <w:ind w:left="709" w:hanging="340"/>
        <w:jc w:val="both"/>
      </w:pPr>
      <w:r>
        <w:rPr>
          <w:rFonts w:ascii="Times New Roman" w:cs="Times New Roman" w:eastAsia="Times New Roman" w:hAnsi="Times New Roman"/>
          <w:sz w:val="24"/>
          <w:szCs w:val="24"/>
        </w:rPr>
        <w:t xml:space="preserve">a) nulidad de cargos y seguros no informados;</w:t>
      </w:r>
    </w:p>
    <w:p>
      <w:pPr>
        <w:spacing w:after="120" w:line="360"/>
        <w:ind w:left="709" w:hanging="340"/>
        <w:jc w:val="both"/>
      </w:pPr>
      <w:r>
        <w:rPr>
          <w:rFonts w:ascii="Times New Roman" w:cs="Times New Roman" w:eastAsia="Times New Roman" w:hAnsi="Times New Roman"/>
          <w:sz w:val="24"/>
          <w:szCs w:val="24"/>
        </w:rPr>
        <w:t xml:space="preserve">b) pérdida de intereses punitorios y gastos de cobranza;</w:t>
      </w:r>
    </w:p>
    <w:p>
      <w:pPr>
        <w:spacing w:after="120" w:line="360"/>
        <w:ind w:left="709" w:hanging="340"/>
        <w:jc w:val="both"/>
      </w:pPr>
      <w:r>
        <w:rPr>
          <w:rFonts w:ascii="Times New Roman" w:cs="Times New Roman" w:eastAsia="Times New Roman" w:hAnsi="Times New Roman"/>
          <w:sz w:val="24"/>
          <w:szCs w:val="24"/>
        </w:rPr>
        <w:t xml:space="preserve">c) reducción de intereses compensatorios hasta el límite legal o hasta una tasa razonable;</w:t>
      </w:r>
    </w:p>
    <w:p>
      <w:pPr>
        <w:spacing w:after="120" w:line="360"/>
        <w:ind w:left="709" w:hanging="340"/>
        <w:jc w:val="both"/>
      </w:pPr>
      <w:r>
        <w:rPr>
          <w:rFonts w:ascii="Times New Roman" w:cs="Times New Roman" w:eastAsia="Times New Roman" w:hAnsi="Times New Roman"/>
          <w:sz w:val="24"/>
          <w:szCs w:val="24"/>
        </w:rPr>
        <w:t xml:space="preserve">d) reparación de daños;</w:t>
      </w:r>
    </w:p>
    <w:p>
      <w:pPr>
        <w:spacing w:after="120" w:line="360"/>
        <w:ind w:left="709" w:hanging="340"/>
        <w:jc w:val="both"/>
      </w:pPr>
      <w:r>
        <w:rPr>
          <w:rFonts w:ascii="Times New Roman" w:cs="Times New Roman" w:eastAsia="Times New Roman" w:hAnsi="Times New Roman"/>
          <w:sz w:val="24"/>
          <w:szCs w:val="24"/>
        </w:rPr>
        <w:t xml:space="preserve">e) reestructuración obligatoria; y</w:t>
      </w:r>
    </w:p>
    <w:p>
      <w:pPr>
        <w:spacing w:after="120" w:line="360"/>
        <w:ind w:left="709" w:hanging="340"/>
        <w:jc w:val="both"/>
      </w:pPr>
      <w:r>
        <w:rPr>
          <w:rFonts w:ascii="Times New Roman" w:cs="Times New Roman" w:eastAsia="Times New Roman" w:hAnsi="Times New Roman"/>
          <w:sz w:val="24"/>
          <w:szCs w:val="24"/>
        </w:rPr>
        <w:t xml:space="preserve">f) sanciones administrativas.</w:t>
      </w:r>
    </w:p>
    <w:p>
      <w:pPr>
        <w:spacing w:after="140" w:line="360"/>
        <w:jc w:val="both"/>
      </w:pPr>
      <w:r>
        <w:rPr>
          <w:rFonts w:ascii="Times New Roman" w:cs="Times New Roman" w:eastAsia="Times New Roman" w:hAnsi="Times New Roman"/>
          <w:sz w:val="24"/>
          <w:szCs w:val="24"/>
        </w:rPr>
        <w:t xml:space="preserve">Sólo el juez puede disponer reducción del capital, pérdida de privilegios o inexigibilidad parcial. Debe hacerlo por resolución fundada, en proporción a la gravedad, reiteración, ventaja obtenida y contribución causal del proveedor al sobreendeudamiento. El capital nunca se reduce automáticamente por la sola existencia de mora.</w:t>
      </w:r>
    </w:p>
    <w:p>
      <w:pPr>
        <w:keepNext/>
        <w:spacing w:after="80" w:before="220" w:line="360"/>
        <w:jc w:val="left"/>
      </w:pPr>
      <w:r>
        <w:rPr>
          <w:rFonts w:ascii="Times New Roman" w:cs="Times New Roman" w:eastAsia="Times New Roman" w:hAnsi="Times New Roman"/>
          <w:b/>
          <w:bCs/>
          <w:sz w:val="24"/>
          <w:szCs w:val="24"/>
        </w:rPr>
        <w:t xml:space="preserve">Artículo 21 — Asistencia temprana y portabilidad</w:t>
      </w:r>
    </w:p>
    <w:p>
      <w:pPr>
        <w:spacing w:after="140" w:line="360"/>
        <w:jc w:val="both"/>
      </w:pPr>
      <w:r>
        <w:rPr>
          <w:rFonts w:ascii="Times New Roman" w:cs="Times New Roman" w:eastAsia="Times New Roman" w:hAnsi="Times New Roman"/>
          <w:sz w:val="24"/>
          <w:szCs w:val="24"/>
        </w:rPr>
        <w:t xml:space="preserve">Ante señales objetivas de dificultad, el proveedor debe ofrecer sin cargo canales humanos, alternativas sostenibles y portabilidad. No puede aumentar la tasa, reducir abruptamente límites ya utilizados ni exigir una refinanciación más costosa por el solo pedido de asistencia.</w:t>
      </w:r>
    </w:p>
    <w:p>
      <w:pPr>
        <w:spacing w:after="140" w:line="360"/>
        <w:jc w:val="both"/>
      </w:pPr>
      <w:r>
        <w:rPr>
          <w:rFonts w:ascii="Times New Roman" w:cs="Times New Roman" w:eastAsia="Times New Roman" w:hAnsi="Times New Roman"/>
          <w:sz w:val="24"/>
          <w:szCs w:val="24"/>
        </w:rPr>
        <w:t xml:space="preserve">La persona puede obtener en cuarenta y ocho (48) horas una constancia estandarizada de saldo cancelatorio y transferir la deuda sin penalidad cuando la nueva operación reduzca cuota, CFTEA o plazo.</w:t>
      </w:r>
    </w:p>
    <w:p>
      <w:pPr>
        <w:keepNext/>
        <w:spacing w:after="160" w:before="300" w:line="360"/>
        <w:jc w:val="center"/>
      </w:pPr>
      <w:r>
        <w:rPr>
          <w:rFonts w:ascii="Times New Roman" w:cs="Times New Roman" w:eastAsia="Times New Roman" w:hAnsi="Times New Roman"/>
          <w:b/>
          <w:bCs/>
          <w:sz w:val="25"/>
          <w:szCs w:val="25"/>
        </w:rPr>
        <w:t xml:space="preserve">TÍTULO III — MORA, COBRANZA Y DATOS CREDITICIOS</w:t>
      </w:r>
    </w:p>
    <w:p>
      <w:pPr>
        <w:keepNext/>
        <w:spacing w:after="80" w:before="220" w:line="360"/>
        <w:jc w:val="left"/>
      </w:pPr>
      <w:r>
        <w:rPr>
          <w:rFonts w:ascii="Times New Roman" w:cs="Times New Roman" w:eastAsia="Times New Roman" w:hAnsi="Times New Roman"/>
          <w:b/>
          <w:bCs/>
          <w:sz w:val="24"/>
          <w:szCs w:val="24"/>
        </w:rPr>
        <w:t xml:space="preserve">Artículo 22 — Estado detallado de deuda</w:t>
      </w:r>
    </w:p>
    <w:p>
      <w:pPr>
        <w:spacing w:after="140" w:line="360"/>
        <w:jc w:val="both"/>
      </w:pPr>
      <w:r>
        <w:rPr>
          <w:rFonts w:ascii="Times New Roman" w:cs="Times New Roman" w:eastAsia="Times New Roman" w:hAnsi="Times New Roman"/>
          <w:sz w:val="24"/>
          <w:szCs w:val="24"/>
        </w:rPr>
        <w:t xml:space="preserve">Ante la mora o a simple pedido, el acreedor entrega en cinco (5) días hábiles:</w:t>
      </w:r>
    </w:p>
    <w:p>
      <w:pPr>
        <w:spacing w:after="120" w:line="360"/>
        <w:ind w:left="709" w:hanging="340"/>
        <w:jc w:val="both"/>
      </w:pPr>
      <w:r>
        <w:rPr>
          <w:rFonts w:ascii="Times New Roman" w:cs="Times New Roman" w:eastAsia="Times New Roman" w:hAnsi="Times New Roman"/>
          <w:sz w:val="24"/>
          <w:szCs w:val="24"/>
        </w:rPr>
        <w:t xml:space="preserve">a) contrato y ficha precontractual;</w:t>
      </w:r>
    </w:p>
    <w:p>
      <w:pPr>
        <w:spacing w:after="120" w:line="360"/>
        <w:ind w:left="709" w:hanging="340"/>
        <w:jc w:val="both"/>
      </w:pPr>
      <w:r>
        <w:rPr>
          <w:rFonts w:ascii="Times New Roman" w:cs="Times New Roman" w:eastAsia="Times New Roman" w:hAnsi="Times New Roman"/>
          <w:sz w:val="24"/>
          <w:szCs w:val="24"/>
        </w:rPr>
        <w:t xml:space="preserve">b) capital original y saldo;</w:t>
      </w:r>
    </w:p>
    <w:p>
      <w:pPr>
        <w:spacing w:after="120" w:line="360"/>
        <w:ind w:left="709" w:hanging="340"/>
        <w:jc w:val="both"/>
      </w:pPr>
      <w:r>
        <w:rPr>
          <w:rFonts w:ascii="Times New Roman" w:cs="Times New Roman" w:eastAsia="Times New Roman" w:hAnsi="Times New Roman"/>
          <w:sz w:val="24"/>
          <w:szCs w:val="24"/>
        </w:rPr>
        <w:t xml:space="preserve">c) cronología de pagos e imputación;</w:t>
      </w:r>
    </w:p>
    <w:p>
      <w:pPr>
        <w:spacing w:after="120" w:line="360"/>
        <w:ind w:left="709" w:hanging="340"/>
        <w:jc w:val="both"/>
      </w:pPr>
      <w:r>
        <w:rPr>
          <w:rFonts w:ascii="Times New Roman" w:cs="Times New Roman" w:eastAsia="Times New Roman" w:hAnsi="Times New Roman"/>
          <w:sz w:val="24"/>
          <w:szCs w:val="24"/>
        </w:rPr>
        <w:t xml:space="preserve">d) intereses compensatorios y punitorios, con tasa, período y fórmula;</w:t>
      </w:r>
    </w:p>
    <w:p>
      <w:pPr>
        <w:spacing w:after="120" w:line="360"/>
        <w:ind w:left="709" w:hanging="340"/>
        <w:jc w:val="both"/>
      </w:pPr>
      <w:r>
        <w:rPr>
          <w:rFonts w:ascii="Times New Roman" w:cs="Times New Roman" w:eastAsia="Times New Roman" w:hAnsi="Times New Roman"/>
          <w:sz w:val="24"/>
          <w:szCs w:val="24"/>
        </w:rPr>
        <w:t xml:space="preserve">e) cargos, seguros e impuestos; y</w:t>
      </w:r>
    </w:p>
    <w:p>
      <w:pPr>
        <w:spacing w:after="120" w:line="360"/>
        <w:ind w:left="709" w:hanging="340"/>
        <w:jc w:val="both"/>
      </w:pPr>
      <w:r>
        <w:rPr>
          <w:rFonts w:ascii="Times New Roman" w:cs="Times New Roman" w:eastAsia="Times New Roman" w:hAnsi="Times New Roman"/>
          <w:sz w:val="24"/>
          <w:szCs w:val="24"/>
        </w:rPr>
        <w:t xml:space="preserve">f) cadena completa de cesiones y legitimación del cobrador.</w:t>
      </w:r>
    </w:p>
    <w:p>
      <w:pPr>
        <w:spacing w:after="140" w:line="360"/>
        <w:jc w:val="both"/>
      </w:pPr>
      <w:r>
        <w:rPr>
          <w:rFonts w:ascii="Times New Roman" w:cs="Times New Roman" w:eastAsia="Times New Roman" w:hAnsi="Times New Roman"/>
          <w:sz w:val="24"/>
          <w:szCs w:val="24"/>
        </w:rPr>
        <w:t xml:space="preserve">Hasta cumplir, no puede iniciar ejecución ni cobrar gastos adicionales.</w:t>
      </w:r>
    </w:p>
    <w:p>
      <w:pPr>
        <w:keepNext/>
        <w:spacing w:after="80" w:before="220" w:line="360"/>
        <w:jc w:val="left"/>
      </w:pPr>
      <w:r>
        <w:rPr>
          <w:rFonts w:ascii="Times New Roman" w:cs="Times New Roman" w:eastAsia="Times New Roman" w:hAnsi="Times New Roman"/>
          <w:b/>
          <w:bCs/>
          <w:sz w:val="24"/>
          <w:szCs w:val="24"/>
        </w:rPr>
        <w:t xml:space="preserve">Artículo 23 — Imputación y anatocismo</w:t>
      </w:r>
    </w:p>
    <w:p>
      <w:pPr>
        <w:spacing w:after="140" w:line="360"/>
        <w:jc w:val="both"/>
      </w:pPr>
      <w:r>
        <w:rPr>
          <w:rFonts w:ascii="Times New Roman" w:cs="Times New Roman" w:eastAsia="Times New Roman" w:hAnsi="Times New Roman"/>
          <w:sz w:val="24"/>
          <w:szCs w:val="24"/>
        </w:rPr>
        <w:t xml:space="preserve">Los pagos se imputan primero a impuestos exigibles, luego a capital y después a intereses y cargos, salvo elección más favorable de la persona deudora o régimen especial aplicable.</w:t>
      </w:r>
    </w:p>
    <w:p>
      <w:pPr>
        <w:spacing w:after="140" w:line="360"/>
        <w:jc w:val="both"/>
      </w:pPr>
      <w:r>
        <w:rPr>
          <w:rFonts w:ascii="Times New Roman" w:cs="Times New Roman" w:eastAsia="Times New Roman" w:hAnsi="Times New Roman"/>
          <w:sz w:val="24"/>
          <w:szCs w:val="24"/>
        </w:rPr>
        <w:t xml:space="preserve">Se prohíbe capitalizar intereses punitorios y cargos de mora. La capitalización de compensatorios sólo procede dentro de los límites del artículo 770 del Código Civil y Comercial y debe informarse de forma destacada.</w:t>
      </w:r>
    </w:p>
    <w:p>
      <w:pPr>
        <w:keepNext/>
        <w:spacing w:after="80" w:before="220" w:line="360"/>
        <w:jc w:val="left"/>
      </w:pPr>
      <w:r>
        <w:rPr>
          <w:rFonts w:ascii="Times New Roman" w:cs="Times New Roman" w:eastAsia="Times New Roman" w:hAnsi="Times New Roman"/>
          <w:b/>
          <w:bCs/>
          <w:sz w:val="24"/>
          <w:szCs w:val="24"/>
        </w:rPr>
        <w:t xml:space="preserve">Artículo 24 — Cobranza digna</w:t>
      </w:r>
    </w:p>
    <w:p>
      <w:pPr>
        <w:spacing w:after="140" w:line="360"/>
        <w:jc w:val="both"/>
      </w:pPr>
      <w:r>
        <w:rPr>
          <w:rFonts w:ascii="Times New Roman" w:cs="Times New Roman" w:eastAsia="Times New Roman" w:hAnsi="Times New Roman"/>
          <w:sz w:val="24"/>
          <w:szCs w:val="24"/>
        </w:rPr>
        <w:t xml:space="preserve">Toda cobranza debe identificar al acreedor, al gestor, el origen y la composición de la deuda. Queda prohibido:</w:t>
      </w:r>
    </w:p>
    <w:p>
      <w:pPr>
        <w:spacing w:after="120" w:line="360"/>
        <w:ind w:left="709" w:hanging="340"/>
        <w:jc w:val="both"/>
      </w:pPr>
      <w:r>
        <w:rPr>
          <w:rFonts w:ascii="Times New Roman" w:cs="Times New Roman" w:eastAsia="Times New Roman" w:hAnsi="Times New Roman"/>
          <w:sz w:val="24"/>
          <w:szCs w:val="24"/>
        </w:rPr>
        <w:t xml:space="preserve">a) contactar fuera de días hábiles de 8 a 20 horas o sábados de 9 a 13 horas, salvo pedido de la persona;</w:t>
      </w:r>
    </w:p>
    <w:p>
      <w:pPr>
        <w:spacing w:after="120" w:line="360"/>
        <w:ind w:left="709" w:hanging="340"/>
        <w:jc w:val="both"/>
      </w:pPr>
      <w:r>
        <w:rPr>
          <w:rFonts w:ascii="Times New Roman" w:cs="Times New Roman" w:eastAsia="Times New Roman" w:hAnsi="Times New Roman"/>
          <w:sz w:val="24"/>
          <w:szCs w:val="24"/>
        </w:rPr>
        <w:t xml:space="preserve">b) efectuar más de tres (3) contactos efectivos en siete (7) días por una misma deuda, cualquiera sea el canal;</w:t>
      </w:r>
    </w:p>
    <w:p>
      <w:pPr>
        <w:spacing w:after="120" w:line="360"/>
        <w:ind w:left="709" w:hanging="340"/>
        <w:jc w:val="both"/>
      </w:pPr>
      <w:r>
        <w:rPr>
          <w:rFonts w:ascii="Times New Roman" w:cs="Times New Roman" w:eastAsia="Times New Roman" w:hAnsi="Times New Roman"/>
          <w:sz w:val="24"/>
          <w:szCs w:val="24"/>
        </w:rPr>
        <w:t xml:space="preserve">c) comunicar la deuda a familiares, empleadores, vecinos o terceros;</w:t>
      </w:r>
    </w:p>
    <w:p>
      <w:pPr>
        <w:spacing w:after="120" w:line="360"/>
        <w:ind w:left="709" w:hanging="340"/>
        <w:jc w:val="both"/>
      </w:pPr>
      <w:r>
        <w:rPr>
          <w:rFonts w:ascii="Times New Roman" w:cs="Times New Roman" w:eastAsia="Times New Roman" w:hAnsi="Times New Roman"/>
          <w:sz w:val="24"/>
          <w:szCs w:val="24"/>
        </w:rPr>
        <w:t xml:space="preserve">d) utilizar amenazas, engaño, lenguaje humillante, simulación de documentos judiciales o anuncios de consecuencias legalmente improcedentes;</w:t>
      </w:r>
    </w:p>
    <w:p>
      <w:pPr>
        <w:spacing w:after="120" w:line="360"/>
        <w:ind w:left="709" w:hanging="340"/>
        <w:jc w:val="both"/>
      </w:pPr>
      <w:r>
        <w:rPr>
          <w:rFonts w:ascii="Times New Roman" w:cs="Times New Roman" w:eastAsia="Times New Roman" w:hAnsi="Times New Roman"/>
          <w:sz w:val="24"/>
          <w:szCs w:val="24"/>
        </w:rPr>
        <w:t xml:space="preserve">e) reclamar deuda prescripta sin informar de modo previo y destacado su inexigibilidad judicial;</w:t>
      </w:r>
    </w:p>
    <w:p>
      <w:pPr>
        <w:spacing w:after="120" w:line="360"/>
        <w:ind w:left="709" w:hanging="340"/>
        <w:jc w:val="both"/>
      </w:pPr>
      <w:r>
        <w:rPr>
          <w:rFonts w:ascii="Times New Roman" w:cs="Times New Roman" w:eastAsia="Times New Roman" w:hAnsi="Times New Roman"/>
          <w:sz w:val="24"/>
          <w:szCs w:val="24"/>
        </w:rPr>
        <w:t xml:space="preserve">f) ocultar identidad, número de registro o canal de impugnación; y</w:t>
      </w:r>
    </w:p>
    <w:p>
      <w:pPr>
        <w:spacing w:after="120" w:line="360"/>
        <w:ind w:left="709" w:hanging="340"/>
        <w:jc w:val="both"/>
      </w:pPr>
      <w:r>
        <w:rPr>
          <w:rFonts w:ascii="Times New Roman" w:cs="Times New Roman" w:eastAsia="Times New Roman" w:hAnsi="Times New Roman"/>
          <w:sz w:val="24"/>
          <w:szCs w:val="24"/>
        </w:rPr>
        <w:t xml:space="preserve">g) debitar de cuentas de haberes, prestaciones o fondos sin autorización revocable y específica.</w:t>
      </w:r>
    </w:p>
    <w:p>
      <w:pPr>
        <w:keepNext/>
        <w:spacing w:after="80" w:before="220" w:line="360"/>
        <w:jc w:val="left"/>
      </w:pPr>
      <w:r>
        <w:rPr>
          <w:rFonts w:ascii="Times New Roman" w:cs="Times New Roman" w:eastAsia="Times New Roman" w:hAnsi="Times New Roman"/>
          <w:b/>
          <w:bCs/>
          <w:sz w:val="24"/>
          <w:szCs w:val="24"/>
        </w:rPr>
        <w:t xml:space="preserve">Artículo 25 — Deuda discutida</w:t>
      </w:r>
    </w:p>
    <w:p>
      <w:pPr>
        <w:spacing w:after="140" w:line="360"/>
        <w:jc w:val="both"/>
      </w:pPr>
      <w:r>
        <w:rPr>
          <w:rFonts w:ascii="Times New Roman" w:cs="Times New Roman" w:eastAsia="Times New Roman" w:hAnsi="Times New Roman"/>
          <w:sz w:val="24"/>
          <w:szCs w:val="24"/>
        </w:rPr>
        <w:t xml:space="preserve">La impugnación fundada suspende por treinta (30) días la cobranza del monto controvertido, sus punitorios y el agravamiento del reporte. El acreedor debe responder con documentación y cálculo verificable dentro de quince (15) días hábiles. El silencio se valora en su contra sin extinguir por sí solo el capital acreditable.</w:t>
      </w:r>
    </w:p>
    <w:p>
      <w:pPr>
        <w:keepNext/>
        <w:spacing w:after="80" w:before="220" w:line="360"/>
        <w:jc w:val="left"/>
      </w:pPr>
      <w:r>
        <w:rPr>
          <w:rFonts w:ascii="Times New Roman" w:cs="Times New Roman" w:eastAsia="Times New Roman" w:hAnsi="Times New Roman"/>
          <w:b/>
          <w:bCs/>
          <w:sz w:val="24"/>
          <w:szCs w:val="24"/>
        </w:rPr>
        <w:t xml:space="preserve">Artículo 26 — Cesión y cobranza tercerizada</w:t>
      </w:r>
    </w:p>
    <w:p>
      <w:pPr>
        <w:spacing w:after="140" w:line="360"/>
        <w:jc w:val="both"/>
      </w:pPr>
      <w:r>
        <w:rPr>
          <w:rFonts w:ascii="Times New Roman" w:cs="Times New Roman" w:eastAsia="Times New Roman" w:hAnsi="Times New Roman"/>
          <w:sz w:val="24"/>
          <w:szCs w:val="24"/>
        </w:rPr>
        <w:t xml:space="preserve">El cesionario o gestor queda sujeto a las mismas defensas, límites, sanciones y deberes que el originante. Cedente y cesionario responden solidariamente por información falsa, cadena defectuosa y prácticas de cobranza cuando el cedente no hubiera ejercido diligencia razonable en la selección o supervisión.</w:t>
      </w:r>
    </w:p>
    <w:p>
      <w:pPr>
        <w:keepNext/>
        <w:spacing w:after="80" w:before="220" w:line="360"/>
        <w:jc w:val="left"/>
      </w:pPr>
      <w:r>
        <w:rPr>
          <w:rFonts w:ascii="Times New Roman" w:cs="Times New Roman" w:eastAsia="Times New Roman" w:hAnsi="Times New Roman"/>
          <w:b/>
          <w:bCs/>
          <w:sz w:val="24"/>
          <w:szCs w:val="24"/>
        </w:rPr>
        <w:t xml:space="preserve">Artículo 27 — Gastos e intereses de mora</w:t>
      </w:r>
    </w:p>
    <w:p>
      <w:pPr>
        <w:spacing w:after="140" w:line="360"/>
        <w:jc w:val="both"/>
      </w:pPr>
      <w:r>
        <w:rPr>
          <w:rFonts w:ascii="Times New Roman" w:cs="Times New Roman" w:eastAsia="Times New Roman" w:hAnsi="Times New Roman"/>
          <w:sz w:val="24"/>
          <w:szCs w:val="24"/>
        </w:rPr>
        <w:t xml:space="preserve">Sólo son exigibles gastos de cobranza reales, necesarios, documentados y proporcionales. No pueden calcularse como porcentaje automático del saldo. Los intereses de mora dejan de devengarse sobre conceptos ilegales o no acreditados y se sujetan al control de los artículos 769 y 771 del Código Civil y Comercial.</w:t>
      </w:r>
    </w:p>
    <w:p>
      <w:pPr>
        <w:keepNext/>
        <w:spacing w:after="80" w:before="220" w:line="360"/>
        <w:jc w:val="left"/>
      </w:pPr>
      <w:r>
        <w:rPr>
          <w:rFonts w:ascii="Times New Roman" w:cs="Times New Roman" w:eastAsia="Times New Roman" w:hAnsi="Times New Roman"/>
          <w:b/>
          <w:bCs/>
          <w:sz w:val="24"/>
          <w:szCs w:val="24"/>
        </w:rPr>
        <w:t xml:space="preserve">Artículo 28 — Información crediticia durante una reestructuración</w:t>
      </w:r>
    </w:p>
    <w:p>
      <w:pPr>
        <w:spacing w:after="140" w:line="360"/>
        <w:jc w:val="both"/>
      </w:pPr>
      <w:r>
        <w:rPr>
          <w:rFonts w:ascii="Times New Roman" w:cs="Times New Roman" w:eastAsia="Times New Roman" w:hAnsi="Times New Roman"/>
          <w:sz w:val="24"/>
          <w:szCs w:val="24"/>
        </w:rPr>
        <w:t xml:space="preserve">Admitido un procedimiento, la deuda debe reportarse como “en reestructuración” y, una vez vigente el plan, como “reestructurada en cumplimiento” o “reestructurada incumplida”, según corresponda. La anotación en cumplimiento no puede equipararse a mora para decisiones automatizadas.</w:t>
      </w:r>
    </w:p>
    <w:p>
      <w:pPr>
        <w:spacing w:after="140" w:line="360"/>
        <w:jc w:val="both"/>
      </w:pPr>
      <w:r>
        <w:rPr>
          <w:rFonts w:ascii="Times New Roman" w:cs="Times New Roman" w:eastAsia="Times New Roman" w:hAnsi="Times New Roman"/>
          <w:sz w:val="24"/>
          <w:szCs w:val="24"/>
        </w:rPr>
        <w:t xml:space="preserve">La información debe ser exacta, actualizada, pertinente y limitada. La participación en un procedimiento o el otorgamiento de una exoneración no puede integrar bases comerciales distintas del dato objetivo de la obligación subsistente.</w:t>
      </w:r>
    </w:p>
    <w:p>
      <w:pPr>
        <w:keepNext/>
        <w:spacing w:after="80" w:before="220" w:line="360"/>
        <w:jc w:val="left"/>
      </w:pPr>
      <w:r>
        <w:rPr>
          <w:rFonts w:ascii="Times New Roman" w:cs="Times New Roman" w:eastAsia="Times New Roman" w:hAnsi="Times New Roman"/>
          <w:b/>
          <w:bCs/>
          <w:sz w:val="24"/>
          <w:szCs w:val="24"/>
        </w:rPr>
        <w:t xml:space="preserve">Artículo 29 — Servicios esenciales</w:t>
      </w:r>
    </w:p>
    <w:p>
      <w:pPr>
        <w:spacing w:after="140" w:line="360"/>
        <w:jc w:val="both"/>
      </w:pPr>
      <w:r>
        <w:rPr>
          <w:rFonts w:ascii="Times New Roman" w:cs="Times New Roman" w:eastAsia="Times New Roman" w:hAnsi="Times New Roman"/>
          <w:sz w:val="24"/>
          <w:szCs w:val="24"/>
        </w:rPr>
        <w:t xml:space="preserve">Durante la suspensión de los artículos 34 y 46 no puede cortarse un servicio público domiciliario por deuda anterior a la apertura si el hogar paga el consumo corriente compatible con su capacidad. La deuda anterior se trata en el plan. Esta protección no impide medidas de seguridad ni alcanza consumos posteriores impagos sin causa justificada.</w:t>
      </w:r>
    </w:p>
    <w:p>
      <w:pPr>
        <w:keepNext/>
        <w:spacing w:after="160" w:before="300" w:line="360"/>
        <w:jc w:val="center"/>
      </w:pPr>
      <w:r>
        <w:rPr>
          <w:rFonts w:ascii="Times New Roman" w:cs="Times New Roman" w:eastAsia="Times New Roman" w:hAnsi="Times New Roman"/>
          <w:b/>
          <w:bCs/>
          <w:sz w:val="25"/>
          <w:szCs w:val="25"/>
        </w:rPr>
        <w:t xml:space="preserve">TÍTULO IV — REESTRUCTURACIÓN ADMINISTRATIVA INTEGRAL</w:t>
      </w:r>
    </w:p>
    <w:p>
      <w:pPr>
        <w:keepNext/>
        <w:spacing w:after="80" w:before="220" w:line="360"/>
        <w:jc w:val="left"/>
      </w:pPr>
      <w:r>
        <w:rPr>
          <w:rFonts w:ascii="Times New Roman" w:cs="Times New Roman" w:eastAsia="Times New Roman" w:hAnsi="Times New Roman"/>
          <w:b/>
          <w:bCs/>
          <w:sz w:val="24"/>
          <w:szCs w:val="24"/>
        </w:rPr>
        <w:t xml:space="preserve">Artículo 30 — Servicio Federal</w:t>
      </w:r>
    </w:p>
    <w:p>
      <w:pPr>
        <w:spacing w:after="140" w:line="360"/>
        <w:jc w:val="both"/>
      </w:pPr>
      <w:r>
        <w:rPr>
          <w:rFonts w:ascii="Times New Roman" w:cs="Times New Roman" w:eastAsia="Times New Roman" w:hAnsi="Times New Roman"/>
          <w:sz w:val="24"/>
          <w:szCs w:val="24"/>
        </w:rPr>
        <w:t xml:space="preserve">Créase el Servicio Federal de Sobreendeudamiento de los Hogares —SFSH— en el ámbito de la autoridad nacional de defensa del consumidor, articulado con las autoridades locales y el BCRA. Brinda orientación, auditoría básica, conciliación y propuesta de plan, en forma gratuita, presencial y digital.</w:t>
      </w:r>
    </w:p>
    <w:p>
      <w:pPr>
        <w:keepNext/>
        <w:spacing w:after="80" w:before="220" w:line="360"/>
        <w:jc w:val="left"/>
      </w:pPr>
      <w:r>
        <w:rPr>
          <w:rFonts w:ascii="Times New Roman" w:cs="Times New Roman" w:eastAsia="Times New Roman" w:hAnsi="Times New Roman"/>
          <w:b/>
          <w:bCs/>
          <w:sz w:val="24"/>
          <w:szCs w:val="24"/>
        </w:rPr>
        <w:t xml:space="preserve">Artículo 31 — Acceso</w:t>
      </w:r>
    </w:p>
    <w:p>
      <w:pPr>
        <w:spacing w:after="140" w:line="360"/>
        <w:jc w:val="both"/>
      </w:pPr>
      <w:r>
        <w:rPr>
          <w:rFonts w:ascii="Times New Roman" w:cs="Times New Roman" w:eastAsia="Times New Roman" w:hAnsi="Times New Roman"/>
          <w:sz w:val="24"/>
          <w:szCs w:val="24"/>
        </w:rPr>
        <w:t xml:space="preserve">Puede solicitar el procedimiento toda persona humana de buena fe sobreendeudada o en riesgo cierto de estarlo, aun antes de la mora. No se exige un monto mínimo, pluralidad de acreedores ni empleo registrado.</w:t>
      </w:r>
    </w:p>
    <w:p>
      <w:pPr>
        <w:spacing w:after="140" w:line="360"/>
        <w:jc w:val="both"/>
      </w:pPr>
      <w:r>
        <w:rPr>
          <w:rFonts w:ascii="Times New Roman" w:cs="Times New Roman" w:eastAsia="Times New Roman" w:hAnsi="Times New Roman"/>
          <w:sz w:val="24"/>
          <w:szCs w:val="24"/>
        </w:rPr>
        <w:t xml:space="preserve">No accede quien oculte dolosamente bienes o ingresos relevantes, haya obtenido el crédito mediante fraude o use el trámite con propósito manifiestamente abusivo, previa decisión fundada y derecho de defensa.</w:t>
      </w:r>
    </w:p>
    <w:p>
      <w:pPr>
        <w:keepNext/>
        <w:spacing w:after="80" w:before="220" w:line="360"/>
        <w:jc w:val="left"/>
      </w:pPr>
      <w:r>
        <w:rPr>
          <w:rFonts w:ascii="Times New Roman" w:cs="Times New Roman" w:eastAsia="Times New Roman" w:hAnsi="Times New Roman"/>
          <w:b/>
          <w:bCs/>
          <w:sz w:val="24"/>
          <w:szCs w:val="24"/>
        </w:rPr>
        <w:t xml:space="preserve">Artículo 32 — Deudas comprendidas</w:t>
      </w:r>
    </w:p>
    <w:p>
      <w:pPr>
        <w:spacing w:after="140" w:line="360"/>
        <w:jc w:val="both"/>
      </w:pPr>
      <w:r>
        <w:rPr>
          <w:rFonts w:ascii="Times New Roman" w:cs="Times New Roman" w:eastAsia="Times New Roman" w:hAnsi="Times New Roman"/>
          <w:sz w:val="24"/>
          <w:szCs w:val="24"/>
        </w:rPr>
        <w:t xml:space="preserve">Se incluyen las deudas de consumo, servicios del hogar, alquiler de vivienda, expensas, obligaciones fiscales personales, garantías otorgadas por razones familiares y deudas de pequeños emprendimientos cuando predomine el impacto familiar.</w:t>
      </w:r>
    </w:p>
    <w:p>
      <w:pPr>
        <w:spacing w:after="140" w:line="360"/>
        <w:jc w:val="both"/>
      </w:pPr>
      <w:r>
        <w:rPr>
          <w:rFonts w:ascii="Times New Roman" w:cs="Times New Roman" w:eastAsia="Times New Roman" w:hAnsi="Times New Roman"/>
          <w:sz w:val="24"/>
          <w:szCs w:val="24"/>
        </w:rPr>
        <w:t xml:space="preserve">Las obligaciones alimentarias, multas penales y reparación de daños dolosos no se reestructuran por esta vía. Las deudas con garantía real sólo se incluyen con consentimiento del acreedor, sin perjuicio de los artículos 53 y 66.</w:t>
      </w:r>
    </w:p>
    <w:p>
      <w:pPr>
        <w:keepNext/>
        <w:spacing w:after="80" w:before="220" w:line="360"/>
        <w:jc w:val="left"/>
      </w:pPr>
      <w:r>
        <w:rPr>
          <w:rFonts w:ascii="Times New Roman" w:cs="Times New Roman" w:eastAsia="Times New Roman" w:hAnsi="Times New Roman"/>
          <w:b/>
          <w:bCs/>
          <w:sz w:val="24"/>
          <w:szCs w:val="24"/>
        </w:rPr>
        <w:t xml:space="preserve">Artículo 33 — Solicitud</w:t>
      </w:r>
    </w:p>
    <w:p>
      <w:pPr>
        <w:spacing w:after="140" w:line="360"/>
        <w:jc w:val="both"/>
      </w:pPr>
      <w:r>
        <w:rPr>
          <w:rFonts w:ascii="Times New Roman" w:cs="Times New Roman" w:eastAsia="Times New Roman" w:hAnsi="Times New Roman"/>
          <w:sz w:val="24"/>
          <w:szCs w:val="24"/>
        </w:rPr>
        <w:t xml:space="preserve">La solicitud contiene identidad, hogar, ingresos, gastos esenciales, bienes relevantes, acreedores, deudas, garantías, acciones judiciales y causas de la dificultad. El SFSH debe asistir a completarla y obtener, con consentimiento específico, los datos públicos necesarios.</w:t>
      </w:r>
    </w:p>
    <w:p>
      <w:pPr>
        <w:spacing w:after="140" w:line="360"/>
        <w:jc w:val="both"/>
      </w:pPr>
      <w:r>
        <w:rPr>
          <w:rFonts w:ascii="Times New Roman" w:cs="Times New Roman" w:eastAsia="Times New Roman" w:hAnsi="Times New Roman"/>
          <w:sz w:val="24"/>
          <w:szCs w:val="24"/>
        </w:rPr>
        <w:t xml:space="preserve">La omisión subsanable no impide la apertura. Los datos sólo pueden usarse para el trámite, supervisión y estadísticas anonimizadas.</w:t>
      </w:r>
    </w:p>
    <w:p>
      <w:pPr>
        <w:keepNext/>
        <w:spacing w:after="80" w:before="220" w:line="360"/>
        <w:jc w:val="left"/>
      </w:pPr>
      <w:r>
        <w:rPr>
          <w:rFonts w:ascii="Times New Roman" w:cs="Times New Roman" w:eastAsia="Times New Roman" w:hAnsi="Times New Roman"/>
          <w:b/>
          <w:bCs/>
          <w:sz w:val="24"/>
          <w:szCs w:val="24"/>
        </w:rPr>
        <w:t xml:space="preserve">Artículo 34 — Admisión y efectos</w:t>
      </w:r>
    </w:p>
    <w:p>
      <w:pPr>
        <w:spacing w:after="140" w:line="360"/>
        <w:jc w:val="both"/>
      </w:pPr>
      <w:r>
        <w:rPr>
          <w:rFonts w:ascii="Times New Roman" w:cs="Times New Roman" w:eastAsia="Times New Roman" w:hAnsi="Times New Roman"/>
          <w:sz w:val="24"/>
          <w:szCs w:val="24"/>
        </w:rPr>
        <w:t xml:space="preserve">Admitida la solicitud y notificados los acreedores, por ciento veinte (120) días, prorrogables una vez por sesenta (60):</w:t>
      </w:r>
    </w:p>
    <w:p>
      <w:pPr>
        <w:spacing w:after="120" w:line="360"/>
        <w:ind w:left="709" w:hanging="340"/>
        <w:jc w:val="both"/>
      </w:pPr>
      <w:r>
        <w:rPr>
          <w:rFonts w:ascii="Times New Roman" w:cs="Times New Roman" w:eastAsia="Times New Roman" w:hAnsi="Times New Roman"/>
          <w:sz w:val="24"/>
          <w:szCs w:val="24"/>
        </w:rPr>
        <w:t xml:space="preserve">a) se suspenden ejecuciones individuales, embargos y cobranzas extrajudiciales de las deudas incluidas, salvo alimentos;</w:t>
      </w:r>
    </w:p>
    <w:p>
      <w:pPr>
        <w:spacing w:after="120" w:line="360"/>
        <w:ind w:left="709" w:hanging="340"/>
        <w:jc w:val="both"/>
      </w:pPr>
      <w:r>
        <w:rPr>
          <w:rFonts w:ascii="Times New Roman" w:cs="Times New Roman" w:eastAsia="Times New Roman" w:hAnsi="Times New Roman"/>
          <w:sz w:val="24"/>
          <w:szCs w:val="24"/>
        </w:rPr>
        <w:t xml:space="preserve">b) se suspende el devengamiento de punitorios y gastos de cobranza;</w:t>
      </w:r>
    </w:p>
    <w:p>
      <w:pPr>
        <w:spacing w:after="120" w:line="360"/>
        <w:ind w:left="709" w:hanging="340"/>
        <w:jc w:val="both"/>
      </w:pPr>
      <w:r>
        <w:rPr>
          <w:rFonts w:ascii="Times New Roman" w:cs="Times New Roman" w:eastAsia="Times New Roman" w:hAnsi="Times New Roman"/>
          <w:sz w:val="24"/>
          <w:szCs w:val="24"/>
        </w:rPr>
        <w:t xml:space="preserve">c) no se capitalizan intereses;</w:t>
      </w:r>
    </w:p>
    <w:p>
      <w:pPr>
        <w:spacing w:after="120" w:line="360"/>
        <w:ind w:left="709" w:hanging="340"/>
        <w:jc w:val="both"/>
      </w:pPr>
      <w:r>
        <w:rPr>
          <w:rFonts w:ascii="Times New Roman" w:cs="Times New Roman" w:eastAsia="Times New Roman" w:hAnsi="Times New Roman"/>
          <w:sz w:val="24"/>
          <w:szCs w:val="24"/>
        </w:rPr>
        <w:t xml:space="preserve">d) se preservan los servicios esenciales conforme al artículo 29; y</w:t>
      </w:r>
    </w:p>
    <w:p>
      <w:pPr>
        <w:spacing w:after="120" w:line="360"/>
        <w:ind w:left="709" w:hanging="340"/>
        <w:jc w:val="both"/>
      </w:pPr>
      <w:r>
        <w:rPr>
          <w:rFonts w:ascii="Times New Roman" w:cs="Times New Roman" w:eastAsia="Times New Roman" w:hAnsi="Times New Roman"/>
          <w:sz w:val="24"/>
          <w:szCs w:val="24"/>
        </w:rPr>
        <w:t xml:space="preserve">e) se aplican las reglas de reporte del artículo 28.</w:t>
      </w:r>
    </w:p>
    <w:p>
      <w:pPr>
        <w:spacing w:after="140" w:line="360"/>
        <w:jc w:val="both"/>
      </w:pPr>
      <w:r>
        <w:rPr>
          <w:rFonts w:ascii="Times New Roman" w:cs="Times New Roman" w:eastAsia="Times New Roman" w:hAnsi="Times New Roman"/>
          <w:sz w:val="24"/>
          <w:szCs w:val="24"/>
        </w:rPr>
        <w:t xml:space="preserve">La autoridad administrativa solicita al juez competente las medidas sobre procesos, cautelares o bienes que requieran decisión jurisdiccional. La notificación de la solicitud no restringe por sí sola derechos reales.</w:t>
      </w:r>
    </w:p>
    <w:p>
      <w:pPr>
        <w:keepNext/>
        <w:spacing w:after="80" w:before="220" w:line="360"/>
        <w:jc w:val="left"/>
      </w:pPr>
      <w:r>
        <w:rPr>
          <w:rFonts w:ascii="Times New Roman" w:cs="Times New Roman" w:eastAsia="Times New Roman" w:hAnsi="Times New Roman"/>
          <w:b/>
          <w:bCs/>
          <w:sz w:val="24"/>
          <w:szCs w:val="24"/>
        </w:rPr>
        <w:t xml:space="preserve">Artículo 35 — Verificación de créditos</w:t>
      </w:r>
    </w:p>
    <w:p>
      <w:pPr>
        <w:spacing w:after="140" w:line="360"/>
        <w:jc w:val="both"/>
      </w:pPr>
      <w:r>
        <w:rPr>
          <w:rFonts w:ascii="Times New Roman" w:cs="Times New Roman" w:eastAsia="Times New Roman" w:hAnsi="Times New Roman"/>
          <w:sz w:val="24"/>
          <w:szCs w:val="24"/>
        </w:rPr>
        <w:t xml:space="preserve">Cada acreedor debe presentar en diez (10) días hábiles los documentos y datos del artículo 22, informar garantías y cesiones, y declarar acreedores vinculados. La falta injustificada impide cobrar nuevos accesorios desde el vencimiento del plazo y excluye al acreedor del cómputo de mayorías hasta que cumpla, sin extinguir el capital acreditable.</w:t>
      </w:r>
    </w:p>
    <w:p>
      <w:pPr>
        <w:keepNext/>
        <w:spacing w:after="80" w:before="220" w:line="360"/>
        <w:jc w:val="left"/>
      </w:pPr>
      <w:r>
        <w:rPr>
          <w:rFonts w:ascii="Times New Roman" w:cs="Times New Roman" w:eastAsia="Times New Roman" w:hAnsi="Times New Roman"/>
          <w:b/>
          <w:bCs/>
          <w:sz w:val="24"/>
          <w:szCs w:val="24"/>
        </w:rPr>
        <w:t xml:space="preserve">Artículo 36 — Auditoría del pasivo</w:t>
      </w:r>
    </w:p>
    <w:p>
      <w:pPr>
        <w:spacing w:after="140" w:line="360"/>
        <w:jc w:val="both"/>
      </w:pPr>
      <w:r>
        <w:rPr>
          <w:rFonts w:ascii="Times New Roman" w:cs="Times New Roman" w:eastAsia="Times New Roman" w:hAnsi="Times New Roman"/>
          <w:sz w:val="24"/>
          <w:szCs w:val="24"/>
        </w:rPr>
        <w:t xml:space="preserve">Antes de proponer un plan, el SFSH determina provisoriamente la deuda auditada. Debe excluir conceptos no acreditados, ilegales, prescriptos —si la prescripción es opuesta— o contrarios a límites de costo y debe identificar indicios de préstamo irresponsable.</w:t>
      </w:r>
    </w:p>
    <w:p>
      <w:pPr>
        <w:spacing w:after="140" w:line="360"/>
        <w:jc w:val="both"/>
      </w:pPr>
      <w:r>
        <w:rPr>
          <w:rFonts w:ascii="Times New Roman" w:cs="Times New Roman" w:eastAsia="Times New Roman" w:hAnsi="Times New Roman"/>
          <w:sz w:val="24"/>
          <w:szCs w:val="24"/>
        </w:rPr>
        <w:t xml:space="preserve">Las partes pueden observar la determinación. Las controversias sustanciales se reservan al juez; el saldo no controvertido continúa en el procedimiento.</w:t>
      </w:r>
    </w:p>
    <w:p>
      <w:pPr>
        <w:keepNext/>
        <w:spacing w:after="80" w:before="220" w:line="360"/>
        <w:jc w:val="left"/>
      </w:pPr>
      <w:r>
        <w:rPr>
          <w:rFonts w:ascii="Times New Roman" w:cs="Times New Roman" w:eastAsia="Times New Roman" w:hAnsi="Times New Roman"/>
          <w:b/>
          <w:bCs/>
          <w:sz w:val="24"/>
          <w:szCs w:val="24"/>
        </w:rPr>
        <w:t xml:space="preserve">Artículo 37 — Capacidad mensual de pago</w:t>
      </w:r>
    </w:p>
    <w:p>
      <w:pPr>
        <w:spacing w:after="140" w:line="360"/>
        <w:jc w:val="both"/>
      </w:pPr>
      <w:r>
        <w:rPr>
          <w:rFonts w:ascii="Times New Roman" w:cs="Times New Roman" w:eastAsia="Times New Roman" w:hAnsi="Times New Roman"/>
          <w:sz w:val="24"/>
          <w:szCs w:val="24"/>
        </w:rPr>
        <w:t xml:space="preserve">La CMP se calcula conforme al Anexo I. La cuota total del plan no puede superar:</w:t>
      </w:r>
    </w:p>
    <w:p>
      <w:pPr>
        <w:spacing w:after="120" w:line="360"/>
        <w:ind w:left="709" w:hanging="340"/>
        <w:jc w:val="both"/>
      </w:pPr>
      <w:r>
        <w:rPr>
          <w:rFonts w:ascii="Times New Roman" w:cs="Times New Roman" w:eastAsia="Times New Roman" w:hAnsi="Times New Roman"/>
          <w:sz w:val="24"/>
          <w:szCs w:val="24"/>
        </w:rPr>
        <w:t xml:space="preserve">a) el veinte por ciento (20 %) del INCH ni el setenta por ciento (70 %) del excedente sobre el MVH, aplicándose el menor; o</w:t>
      </w:r>
    </w:p>
    <w:p>
      <w:pPr>
        <w:spacing w:after="120" w:line="360"/>
        <w:ind w:left="709" w:hanging="340"/>
        <w:jc w:val="both"/>
      </w:pPr>
      <w:r>
        <w:rPr>
          <w:rFonts w:ascii="Times New Roman" w:cs="Times New Roman" w:eastAsia="Times New Roman" w:hAnsi="Times New Roman"/>
          <w:sz w:val="24"/>
          <w:szCs w:val="24"/>
        </w:rPr>
        <w:t xml:space="preserve">b) para persona vulnerable, el quince por ciento (15 %) del INCH ni el sesenta por ciento (60 %) del excedente sobre el MVH, aplicándose el menor.</w:t>
      </w:r>
    </w:p>
    <w:p>
      <w:pPr>
        <w:spacing w:after="140" w:line="360"/>
        <w:jc w:val="both"/>
      </w:pPr>
      <w:r>
        <w:rPr>
          <w:rFonts w:ascii="Times New Roman" w:cs="Times New Roman" w:eastAsia="Times New Roman" w:hAnsi="Times New Roman"/>
          <w:sz w:val="24"/>
          <w:szCs w:val="24"/>
        </w:rPr>
        <w:t xml:space="preserve">La persona puede ofrecer voluntariamente una cuota mayor con asesoramiento independiente y revocarla si compromete el MVH.</w:t>
      </w:r>
    </w:p>
    <w:p>
      <w:pPr>
        <w:keepNext/>
        <w:spacing w:after="80" w:before="220" w:line="360"/>
        <w:jc w:val="left"/>
      </w:pPr>
      <w:r>
        <w:rPr>
          <w:rFonts w:ascii="Times New Roman" w:cs="Times New Roman" w:eastAsia="Times New Roman" w:hAnsi="Times New Roman"/>
          <w:b/>
          <w:bCs/>
          <w:sz w:val="24"/>
          <w:szCs w:val="24"/>
        </w:rPr>
        <w:t xml:space="preserve">Artículo 38 — Propuesta de plan</w:t>
      </w:r>
    </w:p>
    <w:p>
      <w:pPr>
        <w:spacing w:after="140" w:line="360"/>
        <w:jc w:val="both"/>
      </w:pPr>
      <w:r>
        <w:rPr>
          <w:rFonts w:ascii="Times New Roman" w:cs="Times New Roman" w:eastAsia="Times New Roman" w:hAnsi="Times New Roman"/>
          <w:sz w:val="24"/>
          <w:szCs w:val="24"/>
        </w:rPr>
        <w:t xml:space="preserve">El plan puede contener:</w:t>
      </w:r>
    </w:p>
    <w:p>
      <w:pPr>
        <w:spacing w:after="120" w:line="360"/>
        <w:ind w:left="709" w:hanging="340"/>
        <w:jc w:val="both"/>
      </w:pPr>
      <w:r>
        <w:rPr>
          <w:rFonts w:ascii="Times New Roman" w:cs="Times New Roman" w:eastAsia="Times New Roman" w:hAnsi="Times New Roman"/>
          <w:sz w:val="24"/>
          <w:szCs w:val="24"/>
        </w:rPr>
        <w:t xml:space="preserve">a) unificación de pagos;</w:t>
      </w:r>
    </w:p>
    <w:p>
      <w:pPr>
        <w:spacing w:after="120" w:line="360"/>
        <w:ind w:left="709" w:hanging="340"/>
        <w:jc w:val="both"/>
      </w:pPr>
      <w:r>
        <w:rPr>
          <w:rFonts w:ascii="Times New Roman" w:cs="Times New Roman" w:eastAsia="Times New Roman" w:hAnsi="Times New Roman"/>
          <w:sz w:val="24"/>
          <w:szCs w:val="24"/>
        </w:rPr>
        <w:t xml:space="preserve">b) espera inicial de hasta noventa (90) días;</w:t>
      </w:r>
    </w:p>
    <w:p>
      <w:pPr>
        <w:spacing w:after="120" w:line="360"/>
        <w:ind w:left="709" w:hanging="340"/>
        <w:jc w:val="both"/>
      </w:pPr>
      <w:r>
        <w:rPr>
          <w:rFonts w:ascii="Times New Roman" w:cs="Times New Roman" w:eastAsia="Times New Roman" w:hAnsi="Times New Roman"/>
          <w:sz w:val="24"/>
          <w:szCs w:val="24"/>
        </w:rPr>
        <w:t xml:space="preserve">c) plazo de hasta sesenta (60) meses;</w:t>
      </w:r>
    </w:p>
    <w:p>
      <w:pPr>
        <w:spacing w:after="120" w:line="360"/>
        <w:ind w:left="709" w:hanging="340"/>
        <w:jc w:val="both"/>
      </w:pPr>
      <w:r>
        <w:rPr>
          <w:rFonts w:ascii="Times New Roman" w:cs="Times New Roman" w:eastAsia="Times New Roman" w:hAnsi="Times New Roman"/>
          <w:sz w:val="24"/>
          <w:szCs w:val="24"/>
        </w:rPr>
        <w:t xml:space="preserve">d) eliminación de punitorios, gastos ilegales y cargos de cobranza;</w:t>
      </w:r>
    </w:p>
    <w:p>
      <w:pPr>
        <w:spacing w:after="120" w:line="360"/>
        <w:ind w:left="709" w:hanging="340"/>
        <w:jc w:val="both"/>
      </w:pPr>
      <w:r>
        <w:rPr>
          <w:rFonts w:ascii="Times New Roman" w:cs="Times New Roman" w:eastAsia="Times New Roman" w:hAnsi="Times New Roman"/>
          <w:sz w:val="24"/>
          <w:szCs w:val="24"/>
        </w:rPr>
        <w:t xml:space="preserve">e) reducción de tasa y de intereses;</w:t>
      </w:r>
    </w:p>
    <w:p>
      <w:pPr>
        <w:spacing w:after="120" w:line="360"/>
        <w:ind w:left="709" w:hanging="340"/>
        <w:jc w:val="both"/>
      </w:pPr>
      <w:r>
        <w:rPr>
          <w:rFonts w:ascii="Times New Roman" w:cs="Times New Roman" w:eastAsia="Times New Roman" w:hAnsi="Times New Roman"/>
          <w:sz w:val="24"/>
          <w:szCs w:val="24"/>
        </w:rPr>
        <w:t xml:space="preserve">f) quitas voluntarias de capital;</w:t>
      </w:r>
    </w:p>
    <w:p>
      <w:pPr>
        <w:spacing w:after="120" w:line="360"/>
        <w:ind w:left="709" w:hanging="340"/>
        <w:jc w:val="both"/>
      </w:pPr>
      <w:r>
        <w:rPr>
          <w:rFonts w:ascii="Times New Roman" w:cs="Times New Roman" w:eastAsia="Times New Roman" w:hAnsi="Times New Roman"/>
          <w:sz w:val="24"/>
          <w:szCs w:val="24"/>
        </w:rPr>
        <w:t xml:space="preserve">g) tratamiento diferenciado por clase; y</w:t>
      </w:r>
    </w:p>
    <w:p>
      <w:pPr>
        <w:spacing w:after="120" w:line="360"/>
        <w:ind w:left="709" w:hanging="340"/>
        <w:jc w:val="both"/>
      </w:pPr>
      <w:r>
        <w:rPr>
          <w:rFonts w:ascii="Times New Roman" w:cs="Times New Roman" w:eastAsia="Times New Roman" w:hAnsi="Times New Roman"/>
          <w:sz w:val="24"/>
          <w:szCs w:val="24"/>
        </w:rPr>
        <w:t xml:space="preserve">h) revisión por cambio sustancial de circunstancias.</w:t>
      </w:r>
    </w:p>
    <w:p>
      <w:pPr>
        <w:spacing w:after="140" w:line="360"/>
        <w:jc w:val="both"/>
      </w:pPr>
      <w:r>
        <w:rPr>
          <w:rFonts w:ascii="Times New Roman" w:cs="Times New Roman" w:eastAsia="Times New Roman" w:hAnsi="Times New Roman"/>
          <w:sz w:val="24"/>
          <w:szCs w:val="24"/>
        </w:rPr>
        <w:t xml:space="preserve">El pago se distribuye a prorrata dentro de cada clase, respetando alimentos, créditos laborales de personas humanas y garantías legalmente válidas.</w:t>
      </w:r>
    </w:p>
    <w:p>
      <w:pPr>
        <w:keepNext/>
        <w:spacing w:after="80" w:before="220" w:line="360"/>
        <w:jc w:val="left"/>
      </w:pPr>
      <w:r>
        <w:rPr>
          <w:rFonts w:ascii="Times New Roman" w:cs="Times New Roman" w:eastAsia="Times New Roman" w:hAnsi="Times New Roman"/>
          <w:b/>
          <w:bCs/>
          <w:sz w:val="24"/>
          <w:szCs w:val="24"/>
        </w:rPr>
        <w:t xml:space="preserve">Artículo 39 — Participación obligatoria</w:t>
      </w:r>
    </w:p>
    <w:p>
      <w:pPr>
        <w:spacing w:after="140" w:line="360"/>
        <w:jc w:val="both"/>
      </w:pPr>
      <w:r>
        <w:rPr>
          <w:rFonts w:ascii="Times New Roman" w:cs="Times New Roman" w:eastAsia="Times New Roman" w:hAnsi="Times New Roman"/>
          <w:sz w:val="24"/>
          <w:szCs w:val="24"/>
        </w:rPr>
        <w:t xml:space="preserve">Los acreedores deben comparecer, informar y negociar de buena fe. La incomparecencia o negativa sin explicación económica concreta constituye infracción y puede ser valorada por el juez al distribuir costas, intereses y medidas de reestructuración.</w:t>
      </w:r>
    </w:p>
    <w:p>
      <w:pPr>
        <w:keepNext/>
        <w:spacing w:after="80" w:before="220" w:line="360"/>
        <w:jc w:val="left"/>
      </w:pPr>
      <w:r>
        <w:rPr>
          <w:rFonts w:ascii="Times New Roman" w:cs="Times New Roman" w:eastAsia="Times New Roman" w:hAnsi="Times New Roman"/>
          <w:b/>
          <w:bCs/>
          <w:sz w:val="24"/>
          <w:szCs w:val="24"/>
        </w:rPr>
        <w:t xml:space="preserve">Artículo 40 — Acuerdo</w:t>
      </w:r>
    </w:p>
    <w:p>
      <w:pPr>
        <w:spacing w:after="140" w:line="360"/>
        <w:jc w:val="both"/>
      </w:pPr>
      <w:r>
        <w:rPr>
          <w:rFonts w:ascii="Times New Roman" w:cs="Times New Roman" w:eastAsia="Times New Roman" w:hAnsi="Times New Roman"/>
          <w:sz w:val="24"/>
          <w:szCs w:val="24"/>
        </w:rPr>
        <w:t xml:space="preserve">El acuerdo aceptado obliga a quienes consientan. El SFSH lo homologa administrativamente si respeta el MVH, la CMP, la igualdad intraclase, la legalidad del pasivo y el consentimiento informado.</w:t>
      </w:r>
    </w:p>
    <w:p>
      <w:pPr>
        <w:spacing w:after="140" w:line="360"/>
        <w:jc w:val="both"/>
      </w:pPr>
      <w:r>
        <w:rPr>
          <w:rFonts w:ascii="Times New Roman" w:cs="Times New Roman" w:eastAsia="Times New Roman" w:hAnsi="Times New Roman"/>
          <w:sz w:val="24"/>
          <w:szCs w:val="24"/>
        </w:rPr>
        <w:t xml:space="preserve">Alcanzada la conformidad de acreedores que representen al menos el sesenta por ciento (60 %) del capital quirografario auditado y más de la mitad de los acreedores votantes, la persona puede pedir homologación judicial para extenderlo a disidentes de la misma clase.</w:t>
      </w:r>
    </w:p>
    <w:p>
      <w:pPr>
        <w:keepNext/>
        <w:spacing w:after="80" w:before="220" w:line="360"/>
        <w:jc w:val="left"/>
      </w:pPr>
      <w:r>
        <w:rPr>
          <w:rFonts w:ascii="Times New Roman" w:cs="Times New Roman" w:eastAsia="Times New Roman" w:hAnsi="Times New Roman"/>
          <w:b/>
          <w:bCs/>
          <w:sz w:val="24"/>
          <w:szCs w:val="24"/>
        </w:rPr>
        <w:t xml:space="preserve">Artículo 41 — Homologación judicial abreviada</w:t>
      </w:r>
    </w:p>
    <w:p>
      <w:pPr>
        <w:spacing w:after="140" w:line="360"/>
        <w:jc w:val="both"/>
      </w:pPr>
      <w:r>
        <w:rPr>
          <w:rFonts w:ascii="Times New Roman" w:cs="Times New Roman" w:eastAsia="Times New Roman" w:hAnsi="Times New Roman"/>
          <w:sz w:val="24"/>
          <w:szCs w:val="24"/>
        </w:rPr>
        <w:t xml:space="preserve">El juez puede extender el acuerdo si:</w:t>
      </w:r>
    </w:p>
    <w:p>
      <w:pPr>
        <w:spacing w:after="120" w:line="360"/>
        <w:ind w:left="709" w:hanging="340"/>
        <w:jc w:val="both"/>
      </w:pPr>
      <w:r>
        <w:rPr>
          <w:rFonts w:ascii="Times New Roman" w:cs="Times New Roman" w:eastAsia="Times New Roman" w:hAnsi="Times New Roman"/>
          <w:sz w:val="24"/>
          <w:szCs w:val="24"/>
        </w:rPr>
        <w:t xml:space="preserve">a) hubo notificación y oportunidad real de participar;</w:t>
      </w:r>
    </w:p>
    <w:p>
      <w:pPr>
        <w:spacing w:after="120" w:line="360"/>
        <w:ind w:left="709" w:hanging="340"/>
        <w:jc w:val="both"/>
      </w:pPr>
      <w:r>
        <w:rPr>
          <w:rFonts w:ascii="Times New Roman" w:cs="Times New Roman" w:eastAsia="Times New Roman" w:hAnsi="Times New Roman"/>
          <w:sz w:val="24"/>
          <w:szCs w:val="24"/>
        </w:rPr>
        <w:t xml:space="preserve">b) el plan es sostenible y preserva el MVH;</w:t>
      </w:r>
    </w:p>
    <w:p>
      <w:pPr>
        <w:spacing w:after="120" w:line="360"/>
        <w:ind w:left="709" w:hanging="340"/>
        <w:jc w:val="both"/>
      </w:pPr>
      <w:r>
        <w:rPr>
          <w:rFonts w:ascii="Times New Roman" w:cs="Times New Roman" w:eastAsia="Times New Roman" w:hAnsi="Times New Roman"/>
          <w:sz w:val="24"/>
          <w:szCs w:val="24"/>
        </w:rPr>
        <w:t xml:space="preserve">c) los disidentes no reciben menos que en una liquidación razonable;</w:t>
      </w:r>
    </w:p>
    <w:p>
      <w:pPr>
        <w:spacing w:after="120" w:line="360"/>
        <w:ind w:left="709" w:hanging="340"/>
        <w:jc w:val="both"/>
      </w:pPr>
      <w:r>
        <w:rPr>
          <w:rFonts w:ascii="Times New Roman" w:cs="Times New Roman" w:eastAsia="Times New Roman" w:hAnsi="Times New Roman"/>
          <w:sz w:val="24"/>
          <w:szCs w:val="24"/>
        </w:rPr>
        <w:t xml:space="preserve">d) no existe discriminación injustificada dentro de cada clase;</w:t>
      </w:r>
    </w:p>
    <w:p>
      <w:pPr>
        <w:spacing w:after="120" w:line="360"/>
        <w:ind w:left="709" w:hanging="340"/>
        <w:jc w:val="both"/>
      </w:pPr>
      <w:r>
        <w:rPr>
          <w:rFonts w:ascii="Times New Roman" w:cs="Times New Roman" w:eastAsia="Times New Roman" w:hAnsi="Times New Roman"/>
          <w:sz w:val="24"/>
          <w:szCs w:val="24"/>
        </w:rPr>
        <w:t xml:space="preserve">e) se respetan garantías y privilegios legales; y</w:t>
      </w:r>
    </w:p>
    <w:p>
      <w:pPr>
        <w:spacing w:after="120" w:line="360"/>
        <w:ind w:left="709" w:hanging="340"/>
        <w:jc w:val="both"/>
      </w:pPr>
      <w:r>
        <w:rPr>
          <w:rFonts w:ascii="Times New Roman" w:cs="Times New Roman" w:eastAsia="Times New Roman" w:hAnsi="Times New Roman"/>
          <w:sz w:val="24"/>
          <w:szCs w:val="24"/>
        </w:rPr>
        <w:t xml:space="preserve">f) la extensión es necesaria y proporcional.</w:t>
      </w:r>
    </w:p>
    <w:p>
      <w:pPr>
        <w:spacing w:after="140" w:line="360"/>
        <w:jc w:val="both"/>
      </w:pPr>
      <w:r>
        <w:rPr>
          <w:rFonts w:ascii="Times New Roman" w:cs="Times New Roman" w:eastAsia="Times New Roman" w:hAnsi="Times New Roman"/>
          <w:sz w:val="24"/>
          <w:szCs w:val="24"/>
        </w:rPr>
        <w:t xml:space="preserve">La resolución es apelable con efecto no suspensivo, salvo daño grave fundado.</w:t>
      </w:r>
    </w:p>
    <w:p>
      <w:pPr>
        <w:keepNext/>
        <w:spacing w:after="80" w:before="220" w:line="360"/>
        <w:jc w:val="left"/>
      </w:pPr>
      <w:r>
        <w:rPr>
          <w:rFonts w:ascii="Times New Roman" w:cs="Times New Roman" w:eastAsia="Times New Roman" w:hAnsi="Times New Roman"/>
          <w:b/>
          <w:bCs/>
          <w:sz w:val="24"/>
          <w:szCs w:val="24"/>
        </w:rPr>
        <w:t xml:space="preserve">Artículo 42 — Tutela reforzada</w:t>
      </w:r>
    </w:p>
    <w:p>
      <w:pPr>
        <w:spacing w:after="140" w:line="360"/>
        <w:jc w:val="both"/>
      </w:pPr>
      <w:r>
        <w:rPr>
          <w:rFonts w:ascii="Times New Roman" w:cs="Times New Roman" w:eastAsia="Times New Roman" w:hAnsi="Times New Roman"/>
          <w:sz w:val="24"/>
          <w:szCs w:val="24"/>
        </w:rPr>
        <w:t xml:space="preserve">Las personas vulnerables tienen atención prioritaria, canales accesibles, patrocinio gratuito, CMP reducida y adaptación del plan a gastos de cuidado, salud, discapacidad, vivienda y movilidad. Las prestaciones con destino específico a niñez, discapacidad, salud o cuidado no integran el INCH.</w:t>
      </w:r>
    </w:p>
    <w:p>
      <w:pPr>
        <w:keepNext/>
        <w:spacing w:after="80" w:before="220" w:line="360"/>
        <w:jc w:val="left"/>
      </w:pPr>
      <w:r>
        <w:rPr>
          <w:rFonts w:ascii="Times New Roman" w:cs="Times New Roman" w:eastAsia="Times New Roman" w:hAnsi="Times New Roman"/>
          <w:b/>
          <w:bCs/>
          <w:sz w:val="24"/>
          <w:szCs w:val="24"/>
        </w:rPr>
        <w:t xml:space="preserve">Artículo 43 — Cierre o fracaso</w:t>
      </w:r>
    </w:p>
    <w:p>
      <w:pPr>
        <w:spacing w:after="140" w:line="360"/>
        <w:jc w:val="both"/>
      </w:pPr>
      <w:r>
        <w:rPr>
          <w:rFonts w:ascii="Times New Roman" w:cs="Times New Roman" w:eastAsia="Times New Roman" w:hAnsi="Times New Roman"/>
          <w:sz w:val="24"/>
          <w:szCs w:val="24"/>
        </w:rPr>
        <w:t xml:space="preserve">Si no hay acuerdo sostenible, si la CMP es nula o si el pasivo no puede amortizarse dentro del plazo sin violar el MVH, el SFSH emite un informe y ofrece acceso inmediato al procedimiento judicial del Título V. No puede imponer una cuota inviable ni generar un pago final o “cuota globo”.</w:t>
      </w:r>
    </w:p>
    <w:p>
      <w:pPr>
        <w:keepNext/>
        <w:spacing w:after="160" w:before="300" w:line="360"/>
        <w:jc w:val="center"/>
      </w:pPr>
      <w:r>
        <w:rPr>
          <w:rFonts w:ascii="Times New Roman" w:cs="Times New Roman" w:eastAsia="Times New Roman" w:hAnsi="Times New Roman"/>
          <w:b/>
          <w:bCs/>
          <w:sz w:val="25"/>
          <w:szCs w:val="25"/>
        </w:rPr>
        <w:t xml:space="preserve">TÍTULO V — SEGUNDA OPORTUNIDAD DE LA PERSONA HUMANA</w:t>
      </w:r>
    </w:p>
    <w:p>
      <w:pPr>
        <w:keepNext/>
        <w:spacing w:after="80" w:before="220" w:line="360"/>
        <w:jc w:val="left"/>
      </w:pPr>
      <w:r>
        <w:rPr>
          <w:rFonts w:ascii="Times New Roman" w:cs="Times New Roman" w:eastAsia="Times New Roman" w:hAnsi="Times New Roman"/>
          <w:b/>
          <w:bCs/>
          <w:sz w:val="24"/>
          <w:szCs w:val="24"/>
        </w:rPr>
        <w:t xml:space="preserve">Artículo 44 — Naturaleza y competencia</w:t>
      </w:r>
    </w:p>
    <w:p>
      <w:pPr>
        <w:spacing w:after="140" w:line="360"/>
        <w:jc w:val="both"/>
      </w:pPr>
      <w:r>
        <w:rPr>
          <w:rFonts w:ascii="Times New Roman" w:cs="Times New Roman" w:eastAsia="Times New Roman" w:hAnsi="Times New Roman"/>
          <w:sz w:val="24"/>
          <w:szCs w:val="24"/>
        </w:rPr>
        <w:t xml:space="preserve">El presente Título establece normas de fondo de insolvencia de la persona humana en ejercicio del artículo 75 inciso 12 de la Constitución Nacional. Es competente el juez ordinario con competencia civil o comercial del domicilio real de la persona deudora. Las provincias y la Ciudad Autónoma de Buenos Aires conservan la regulación procesal y la organización de sus tribunales.</w:t>
      </w:r>
    </w:p>
    <w:p>
      <w:pPr>
        <w:keepNext/>
        <w:spacing w:after="80" w:before="220" w:line="360"/>
        <w:jc w:val="left"/>
      </w:pPr>
      <w:r>
        <w:rPr>
          <w:rFonts w:ascii="Times New Roman" w:cs="Times New Roman" w:eastAsia="Times New Roman" w:hAnsi="Times New Roman"/>
          <w:b/>
          <w:bCs/>
          <w:sz w:val="24"/>
          <w:szCs w:val="24"/>
        </w:rPr>
        <w:t xml:space="preserve">Artículo 45 — Apertura</w:t>
      </w:r>
    </w:p>
    <w:p>
      <w:pPr>
        <w:spacing w:after="140" w:line="360"/>
        <w:jc w:val="both"/>
      </w:pPr>
      <w:r>
        <w:rPr>
          <w:rFonts w:ascii="Times New Roman" w:cs="Times New Roman" w:eastAsia="Times New Roman" w:hAnsi="Times New Roman"/>
          <w:sz w:val="24"/>
          <w:szCs w:val="24"/>
        </w:rPr>
        <w:t xml:space="preserve">La persona puede pedir la apertura acompañando el informe del SFSH o acreditando urgencia, imposibilidad de acceso o fracaso de una negociación equivalente. El trámite es gratuito, de estructura simple y con patrocinio jurídico gratuito.</w:t>
      </w:r>
    </w:p>
    <w:p>
      <w:pPr>
        <w:spacing w:after="140" w:line="360"/>
        <w:jc w:val="both"/>
      </w:pPr>
      <w:r>
        <w:rPr>
          <w:rFonts w:ascii="Times New Roman" w:cs="Times New Roman" w:eastAsia="Times New Roman" w:hAnsi="Times New Roman"/>
          <w:sz w:val="24"/>
          <w:szCs w:val="24"/>
        </w:rPr>
        <w:t xml:space="preserve">La buena fe se presume y se evalúa de modo integral. No se exige liquidar previamente bienes protegidos ni acreditar pluralidad de acreedores.</w:t>
      </w:r>
    </w:p>
    <w:p>
      <w:pPr>
        <w:keepNext/>
        <w:spacing w:after="80" w:before="220" w:line="360"/>
        <w:jc w:val="left"/>
      </w:pPr>
      <w:r>
        <w:rPr>
          <w:rFonts w:ascii="Times New Roman" w:cs="Times New Roman" w:eastAsia="Times New Roman" w:hAnsi="Times New Roman"/>
          <w:b/>
          <w:bCs/>
          <w:sz w:val="24"/>
          <w:szCs w:val="24"/>
        </w:rPr>
        <w:t xml:space="preserve">Artículo 46 — Efectos</w:t>
      </w:r>
    </w:p>
    <w:p>
      <w:pPr>
        <w:spacing w:after="140" w:line="360"/>
        <w:jc w:val="both"/>
      </w:pPr>
      <w:r>
        <w:rPr>
          <w:rFonts w:ascii="Times New Roman" w:cs="Times New Roman" w:eastAsia="Times New Roman" w:hAnsi="Times New Roman"/>
          <w:sz w:val="24"/>
          <w:szCs w:val="24"/>
        </w:rPr>
        <w:t xml:space="preserve">La apertura judicial:</w:t>
      </w:r>
    </w:p>
    <w:p>
      <w:pPr>
        <w:spacing w:after="120" w:line="360"/>
        <w:ind w:left="709" w:hanging="340"/>
        <w:jc w:val="both"/>
      </w:pPr>
      <w:r>
        <w:rPr>
          <w:rFonts w:ascii="Times New Roman" w:cs="Times New Roman" w:eastAsia="Times New Roman" w:hAnsi="Times New Roman"/>
          <w:sz w:val="24"/>
          <w:szCs w:val="24"/>
        </w:rPr>
        <w:t xml:space="preserve">a) suspende las ejecuciones y cautelares individuales, salvo alimentos;</w:t>
      </w:r>
    </w:p>
    <w:p>
      <w:pPr>
        <w:spacing w:after="120" w:line="360"/>
        <w:ind w:left="709" w:hanging="340"/>
        <w:jc w:val="both"/>
      </w:pPr>
      <w:r>
        <w:rPr>
          <w:rFonts w:ascii="Times New Roman" w:cs="Times New Roman" w:eastAsia="Times New Roman" w:hAnsi="Times New Roman"/>
          <w:sz w:val="24"/>
          <w:szCs w:val="24"/>
        </w:rPr>
        <w:t xml:space="preserve">b) suspende punitorios, gastos de cobranza y capitalizaciones;</w:t>
      </w:r>
    </w:p>
    <w:p>
      <w:pPr>
        <w:spacing w:after="120" w:line="360"/>
        <w:ind w:left="709" w:hanging="340"/>
        <w:jc w:val="both"/>
      </w:pPr>
      <w:r>
        <w:rPr>
          <w:rFonts w:ascii="Times New Roman" w:cs="Times New Roman" w:eastAsia="Times New Roman" w:hAnsi="Times New Roman"/>
          <w:sz w:val="24"/>
          <w:szCs w:val="24"/>
        </w:rPr>
        <w:t xml:space="preserve">c) concentra la verificación y tratamiento de las deudas anteriores;</w:t>
      </w:r>
    </w:p>
    <w:p>
      <w:pPr>
        <w:spacing w:after="120" w:line="360"/>
        <w:ind w:left="709" w:hanging="340"/>
        <w:jc w:val="both"/>
      </w:pPr>
      <w:r>
        <w:rPr>
          <w:rFonts w:ascii="Times New Roman" w:cs="Times New Roman" w:eastAsia="Times New Roman" w:hAnsi="Times New Roman"/>
          <w:sz w:val="24"/>
          <w:szCs w:val="24"/>
        </w:rPr>
        <w:t xml:space="preserve">d) impide actos extraordinarios sobre bienes registrables sin autorización; y</w:t>
      </w:r>
    </w:p>
    <w:p>
      <w:pPr>
        <w:spacing w:after="120" w:line="360"/>
        <w:ind w:left="709" w:hanging="340"/>
        <w:jc w:val="both"/>
      </w:pPr>
      <w:r>
        <w:rPr>
          <w:rFonts w:ascii="Times New Roman" w:cs="Times New Roman" w:eastAsia="Times New Roman" w:hAnsi="Times New Roman"/>
          <w:sz w:val="24"/>
          <w:szCs w:val="24"/>
        </w:rPr>
        <w:t xml:space="preserve">e) mantiene las reglas de los artículos 28 y 29.</w:t>
      </w:r>
    </w:p>
    <w:p>
      <w:pPr>
        <w:spacing w:after="140" w:line="360"/>
        <w:jc w:val="both"/>
      </w:pPr>
      <w:r>
        <w:rPr>
          <w:rFonts w:ascii="Times New Roman" w:cs="Times New Roman" w:eastAsia="Times New Roman" w:hAnsi="Times New Roman"/>
          <w:sz w:val="24"/>
          <w:szCs w:val="24"/>
        </w:rPr>
        <w:t xml:space="preserve">Respecto de garantías reales, la suspensión inicial no excede noventa (90) días salvo consentimiento, pago corriente o decisión fundada para proteger vivienda y negociación, sin alterar el rango ni el valor económico de la garantía.</w:t>
      </w:r>
    </w:p>
    <w:p>
      <w:pPr>
        <w:keepNext/>
        <w:spacing w:after="80" w:before="220" w:line="360"/>
        <w:jc w:val="left"/>
      </w:pPr>
      <w:r>
        <w:rPr>
          <w:rFonts w:ascii="Times New Roman" w:cs="Times New Roman" w:eastAsia="Times New Roman" w:hAnsi="Times New Roman"/>
          <w:b/>
          <w:bCs/>
          <w:sz w:val="24"/>
          <w:szCs w:val="24"/>
        </w:rPr>
        <w:t xml:space="preserve">Artículo 47 — Verificación y clasificación</w:t>
      </w:r>
    </w:p>
    <w:p>
      <w:pPr>
        <w:spacing w:after="140" w:line="360"/>
        <w:jc w:val="both"/>
      </w:pPr>
      <w:r>
        <w:rPr>
          <w:rFonts w:ascii="Times New Roman" w:cs="Times New Roman" w:eastAsia="Times New Roman" w:hAnsi="Times New Roman"/>
          <w:sz w:val="24"/>
          <w:szCs w:val="24"/>
        </w:rPr>
        <w:t xml:space="preserve">Los acreedores verifican causa, monto, pagos, tasa, cargos, garantía, cesiones y evaluación de solvencia. Los créditos se clasifican en alimentarios, laborales, fiscales personales, garantizados, quirografarios de consumo, vinculados y créditos de personas humanas vulnerables.</w:t>
      </w:r>
    </w:p>
    <w:p>
      <w:pPr>
        <w:spacing w:after="140" w:line="360"/>
        <w:jc w:val="both"/>
      </w:pPr>
      <w:r>
        <w:rPr>
          <w:rFonts w:ascii="Times New Roman" w:cs="Times New Roman" w:eastAsia="Times New Roman" w:hAnsi="Times New Roman"/>
          <w:sz w:val="24"/>
          <w:szCs w:val="24"/>
        </w:rPr>
        <w:t xml:space="preserve">El juez revisa de oficio cláusulas abusivas, intereses desproporcionados, anatocismo, prescripción opuesta y préstamo irresponsable. Puede aplicar el artículo 20 con debido proceso.</w:t>
      </w:r>
    </w:p>
    <w:p>
      <w:pPr>
        <w:keepNext/>
        <w:spacing w:after="80" w:before="220" w:line="360"/>
        <w:jc w:val="left"/>
      </w:pPr>
      <w:r>
        <w:rPr>
          <w:rFonts w:ascii="Times New Roman" w:cs="Times New Roman" w:eastAsia="Times New Roman" w:hAnsi="Times New Roman"/>
          <w:b/>
          <w:bCs/>
          <w:sz w:val="24"/>
          <w:szCs w:val="24"/>
        </w:rPr>
        <w:t xml:space="preserve">Artículo 48 — Procedimiento sin activos ni capacidad de pago</w:t>
      </w:r>
    </w:p>
    <w:p>
      <w:pPr>
        <w:spacing w:after="140" w:line="360"/>
        <w:jc w:val="both"/>
      </w:pPr>
      <w:r>
        <w:rPr>
          <w:rFonts w:ascii="Times New Roman" w:cs="Times New Roman" w:eastAsia="Times New Roman" w:hAnsi="Times New Roman"/>
          <w:sz w:val="24"/>
          <w:szCs w:val="24"/>
        </w:rPr>
        <w:t xml:space="preserve">Si la persona carece de activos no protegidos y su CMP es nula, el juez abre un período de observación de seis (6) meses, durante el cual debe informar ingresos extraordinarios y colaborar. Vencido el plazo sin fraude ni mejora suficiente, concede la exoneración.</w:t>
      </w:r>
    </w:p>
    <w:p>
      <w:pPr>
        <w:spacing w:after="140" w:line="360"/>
        <w:jc w:val="both"/>
      </w:pPr>
      <w:r>
        <w:rPr>
          <w:rFonts w:ascii="Times New Roman" w:cs="Times New Roman" w:eastAsia="Times New Roman" w:hAnsi="Times New Roman"/>
          <w:sz w:val="24"/>
          <w:szCs w:val="24"/>
        </w:rPr>
        <w:t xml:space="preserve">El trámite no requiere síndico cuando la documentación sea simple. La inexistencia de bienes no puede impedir la segunda oportunidad.</w:t>
      </w:r>
    </w:p>
    <w:p>
      <w:pPr>
        <w:keepNext/>
        <w:spacing w:after="80" w:before="220" w:line="360"/>
        <w:jc w:val="left"/>
      </w:pPr>
      <w:r>
        <w:rPr>
          <w:rFonts w:ascii="Times New Roman" w:cs="Times New Roman" w:eastAsia="Times New Roman" w:hAnsi="Times New Roman"/>
          <w:b/>
          <w:bCs/>
          <w:sz w:val="24"/>
          <w:szCs w:val="24"/>
        </w:rPr>
        <w:t xml:space="preserve">Artículo 49 — Plan judicial</w:t>
      </w:r>
    </w:p>
    <w:p>
      <w:pPr>
        <w:spacing w:after="140" w:line="360"/>
        <w:jc w:val="both"/>
      </w:pPr>
      <w:r>
        <w:rPr>
          <w:rFonts w:ascii="Times New Roman" w:cs="Times New Roman" w:eastAsia="Times New Roman" w:hAnsi="Times New Roman"/>
          <w:sz w:val="24"/>
          <w:szCs w:val="24"/>
        </w:rPr>
        <w:t xml:space="preserve">Cuando exista CMP positiva, el plan dura hasta treinta y seis (36) meses. Puede extenderse hasta sesenta (60) meses sólo a pedido informado de la persona para conservar vivienda, herramientas de trabajo u otro bien esencial, o cuando resulte manifiestamente más favorable.</w:t>
      </w:r>
    </w:p>
    <w:p>
      <w:pPr>
        <w:spacing w:after="140" w:line="360"/>
        <w:jc w:val="both"/>
      </w:pPr>
      <w:r>
        <w:rPr>
          <w:rFonts w:ascii="Times New Roman" w:cs="Times New Roman" w:eastAsia="Times New Roman" w:hAnsi="Times New Roman"/>
          <w:sz w:val="24"/>
          <w:szCs w:val="24"/>
        </w:rPr>
        <w:t xml:space="preserve">La cuota respeta el artículo 37. El plan puede incluir esperas, reducción de intereses, quitas, venta voluntaria de activos no esenciales y revisión por desempleo, enfermedad, inflación de gastos esenciales u otra variación sustancial.</w:t>
      </w:r>
    </w:p>
    <w:p>
      <w:pPr>
        <w:keepNext/>
        <w:spacing w:after="80" w:before="220" w:line="360"/>
        <w:jc w:val="left"/>
      </w:pPr>
      <w:r>
        <w:rPr>
          <w:rFonts w:ascii="Times New Roman" w:cs="Times New Roman" w:eastAsia="Times New Roman" w:hAnsi="Times New Roman"/>
          <w:b/>
          <w:bCs/>
          <w:sz w:val="24"/>
          <w:szCs w:val="24"/>
        </w:rPr>
        <w:t xml:space="preserve">Artículo 50 — Aprobación sin unanimidad</w:t>
      </w:r>
    </w:p>
    <w:p>
      <w:pPr>
        <w:spacing w:after="140" w:line="360"/>
        <w:jc w:val="both"/>
      </w:pPr>
      <w:r>
        <w:rPr>
          <w:rFonts w:ascii="Times New Roman" w:cs="Times New Roman" w:eastAsia="Times New Roman" w:hAnsi="Times New Roman"/>
          <w:sz w:val="24"/>
          <w:szCs w:val="24"/>
        </w:rPr>
        <w:t xml:space="preserve">El juez puede aprobar el plan sin unanimidad cuando sea de buena fe, factible, preserve el MVH, trate equitativamente a cada clase y otorgue a los acreedores al menos el valor razonablemente obtenible en la alternativa aplicable. Debe ponderar la conducta del proveedor, el origen de la deuda, la vulnerabilidad y el esfuerzo posible, no un sacrificio abstracto.</w:t>
      </w:r>
    </w:p>
    <w:p>
      <w:pPr>
        <w:keepNext/>
        <w:spacing w:after="80" w:before="220" w:line="360"/>
        <w:jc w:val="left"/>
      </w:pPr>
      <w:r>
        <w:rPr>
          <w:rFonts w:ascii="Times New Roman" w:cs="Times New Roman" w:eastAsia="Times New Roman" w:hAnsi="Times New Roman"/>
          <w:b/>
          <w:bCs/>
          <w:sz w:val="24"/>
          <w:szCs w:val="24"/>
        </w:rPr>
        <w:t xml:space="preserve">Artículo 51 — Liquidación excepcional</w:t>
      </w:r>
    </w:p>
    <w:p>
      <w:pPr>
        <w:spacing w:after="140" w:line="360"/>
        <w:jc w:val="both"/>
      </w:pPr>
      <w:r>
        <w:rPr>
          <w:rFonts w:ascii="Times New Roman" w:cs="Times New Roman" w:eastAsia="Times New Roman" w:hAnsi="Times New Roman"/>
          <w:sz w:val="24"/>
          <w:szCs w:val="24"/>
        </w:rPr>
        <w:t xml:space="preserve">Si no existe plan posible y hay bienes no protegidos realizables, se liquidan de modo ordenado, con el menor costo y preservando la actividad laboral. No se liquida un bien cuando los costos y daños previsibles absorban o superen el beneficio para los acreedores.</w:t>
      </w:r>
    </w:p>
    <w:p>
      <w:pPr>
        <w:spacing w:after="140" w:line="360"/>
        <w:jc w:val="both"/>
      </w:pPr>
      <w:r>
        <w:rPr>
          <w:rFonts w:ascii="Times New Roman" w:cs="Times New Roman" w:eastAsia="Times New Roman" w:hAnsi="Times New Roman"/>
          <w:sz w:val="24"/>
          <w:szCs w:val="24"/>
        </w:rPr>
        <w:t xml:space="preserve">Concluida la liquidación, procede la exoneración, sin exigir un porcentaje mínimo de pago.</w:t>
      </w:r>
    </w:p>
    <w:p>
      <w:pPr>
        <w:keepNext/>
        <w:spacing w:after="80" w:before="220" w:line="360"/>
        <w:jc w:val="left"/>
      </w:pPr>
      <w:r>
        <w:rPr>
          <w:rFonts w:ascii="Times New Roman" w:cs="Times New Roman" w:eastAsia="Times New Roman" w:hAnsi="Times New Roman"/>
          <w:b/>
          <w:bCs/>
          <w:sz w:val="24"/>
          <w:szCs w:val="24"/>
        </w:rPr>
        <w:t xml:space="preserve">Artículo 52 — Bienes y recursos protegidos</w:t>
      </w:r>
    </w:p>
    <w:p>
      <w:pPr>
        <w:spacing w:after="140" w:line="360"/>
        <w:jc w:val="both"/>
      </w:pPr>
      <w:r>
        <w:rPr>
          <w:rFonts w:ascii="Times New Roman" w:cs="Times New Roman" w:eastAsia="Times New Roman" w:hAnsi="Times New Roman"/>
          <w:sz w:val="24"/>
          <w:szCs w:val="24"/>
        </w:rPr>
        <w:t xml:space="preserve">Quedan excluidos:</w:t>
      </w:r>
    </w:p>
    <w:p>
      <w:pPr>
        <w:spacing w:after="120" w:line="360"/>
        <w:ind w:left="709" w:hanging="340"/>
        <w:jc w:val="both"/>
      </w:pPr>
      <w:r>
        <w:rPr>
          <w:rFonts w:ascii="Times New Roman" w:cs="Times New Roman" w:eastAsia="Times New Roman" w:hAnsi="Times New Roman"/>
          <w:sz w:val="24"/>
          <w:szCs w:val="24"/>
        </w:rPr>
        <w:t xml:space="preserve">a) el MVH y las prestaciones inembargables;</w:t>
      </w:r>
    </w:p>
    <w:p>
      <w:pPr>
        <w:spacing w:after="120" w:line="360"/>
        <w:ind w:left="709" w:hanging="340"/>
        <w:jc w:val="both"/>
      </w:pPr>
      <w:r>
        <w:rPr>
          <w:rFonts w:ascii="Times New Roman" w:cs="Times New Roman" w:eastAsia="Times New Roman" w:hAnsi="Times New Roman"/>
          <w:sz w:val="24"/>
          <w:szCs w:val="24"/>
        </w:rPr>
        <w:t xml:space="preserve">b) alimentos, medicación, prótesis y elementos de discapacidad;</w:t>
      </w:r>
    </w:p>
    <w:p>
      <w:pPr>
        <w:spacing w:after="120" w:line="360"/>
        <w:ind w:left="709" w:hanging="340"/>
        <w:jc w:val="both"/>
      </w:pPr>
      <w:r>
        <w:rPr>
          <w:rFonts w:ascii="Times New Roman" w:cs="Times New Roman" w:eastAsia="Times New Roman" w:hAnsi="Times New Roman"/>
          <w:sz w:val="24"/>
          <w:szCs w:val="24"/>
        </w:rPr>
        <w:t xml:space="preserve">c) muebles y equipamiento ordinario del hogar;</w:t>
      </w:r>
    </w:p>
    <w:p>
      <w:pPr>
        <w:spacing w:after="120" w:line="360"/>
        <w:ind w:left="709" w:hanging="340"/>
        <w:jc w:val="both"/>
      </w:pPr>
      <w:r>
        <w:rPr>
          <w:rFonts w:ascii="Times New Roman" w:cs="Times New Roman" w:eastAsia="Times New Roman" w:hAnsi="Times New Roman"/>
          <w:sz w:val="24"/>
          <w:szCs w:val="24"/>
        </w:rPr>
        <w:t xml:space="preserve">d) herramientas, computadora, teléfono, conectividad y vehículo indispensables para trabajo, estudio, salud o cuidado;</w:t>
      </w:r>
    </w:p>
    <w:p>
      <w:pPr>
        <w:spacing w:after="120" w:line="360"/>
        <w:ind w:left="709" w:hanging="340"/>
        <w:jc w:val="both"/>
      </w:pPr>
      <w:r>
        <w:rPr>
          <w:rFonts w:ascii="Times New Roman" w:cs="Times New Roman" w:eastAsia="Times New Roman" w:hAnsi="Times New Roman"/>
          <w:sz w:val="24"/>
          <w:szCs w:val="24"/>
        </w:rPr>
        <w:t xml:space="preserve">e) derechos previsionales y fondos legalmente inembargables; y</w:t>
      </w:r>
    </w:p>
    <w:p>
      <w:pPr>
        <w:spacing w:after="120" w:line="360"/>
        <w:ind w:left="709" w:hanging="340"/>
        <w:jc w:val="both"/>
      </w:pPr>
      <w:r>
        <w:rPr>
          <w:rFonts w:ascii="Times New Roman" w:cs="Times New Roman" w:eastAsia="Times New Roman" w:hAnsi="Times New Roman"/>
          <w:sz w:val="24"/>
          <w:szCs w:val="24"/>
        </w:rPr>
        <w:t xml:space="preserve">f) los demás bienes del artículo 744 del Código Civil y Comercial y leyes especiales.</w:t>
      </w:r>
    </w:p>
    <w:p>
      <w:pPr>
        <w:spacing w:after="140" w:line="360"/>
        <w:jc w:val="both"/>
      </w:pPr>
      <w:r>
        <w:rPr>
          <w:rFonts w:ascii="Times New Roman" w:cs="Times New Roman" w:eastAsia="Times New Roman" w:hAnsi="Times New Roman"/>
          <w:sz w:val="24"/>
          <w:szCs w:val="24"/>
        </w:rPr>
        <w:t xml:space="preserve">El juez puede sustituir una protección por otra equivalente y debe evitar ventas de valor irrisorio.</w:t>
      </w:r>
    </w:p>
    <w:p>
      <w:pPr>
        <w:keepNext/>
        <w:spacing w:after="80" w:before="220" w:line="360"/>
        <w:jc w:val="left"/>
      </w:pPr>
      <w:r>
        <w:rPr>
          <w:rFonts w:ascii="Times New Roman" w:cs="Times New Roman" w:eastAsia="Times New Roman" w:hAnsi="Times New Roman"/>
          <w:b/>
          <w:bCs/>
          <w:sz w:val="24"/>
          <w:szCs w:val="24"/>
        </w:rPr>
        <w:t xml:space="preserve">Artículo 53 — Vivienda única</w:t>
      </w:r>
    </w:p>
    <w:p>
      <w:pPr>
        <w:spacing w:after="140" w:line="360"/>
        <w:jc w:val="both"/>
      </w:pPr>
      <w:r>
        <w:rPr>
          <w:rFonts w:ascii="Times New Roman" w:cs="Times New Roman" w:eastAsia="Times New Roman" w:hAnsi="Times New Roman"/>
          <w:sz w:val="24"/>
          <w:szCs w:val="24"/>
        </w:rPr>
        <w:t xml:space="preserve">La vivienda única y de ocupación permanente recibe tutela reforzada. El juez debe priorizar refinanciación, adecuación de cuota, extensión de plazo, venta voluntaria con reserva para vivienda de reemplazo u otra solución menos gravosa.</w:t>
      </w:r>
    </w:p>
    <w:p>
      <w:pPr>
        <w:spacing w:after="140" w:line="360"/>
        <w:jc w:val="both"/>
      </w:pPr>
      <w:r>
        <w:rPr>
          <w:rFonts w:ascii="Times New Roman" w:cs="Times New Roman" w:eastAsia="Times New Roman" w:hAnsi="Times New Roman"/>
          <w:sz w:val="24"/>
          <w:szCs w:val="24"/>
        </w:rPr>
        <w:t xml:space="preserve">La protección no extingue ni reduce por sí sola una hipoteca válida constituida sobre el inmueble. Fuera de ella, la vivienda sólo puede liquidarse cuando su valor neto exceda de manera sustancial el necesario para una vivienda adecuada en la misma región y el beneficio para acreedores sea proporcional al daño habitacional. Debe reservarse previamente el monto razonable de reemplazo fijado con datos públicos, composición familiar, accesibilidad y mercado local.</w:t>
      </w:r>
    </w:p>
    <w:p>
      <w:pPr>
        <w:keepNext/>
        <w:spacing w:after="80" w:before="220" w:line="360"/>
        <w:jc w:val="left"/>
      </w:pPr>
      <w:r>
        <w:rPr>
          <w:rFonts w:ascii="Times New Roman" w:cs="Times New Roman" w:eastAsia="Times New Roman" w:hAnsi="Times New Roman"/>
          <w:b/>
          <w:bCs/>
          <w:sz w:val="24"/>
          <w:szCs w:val="24"/>
        </w:rPr>
        <w:t xml:space="preserve">Artículo 54 — Exoneración del pasivo insatisfecho</w:t>
      </w:r>
    </w:p>
    <w:p>
      <w:pPr>
        <w:spacing w:after="140" w:line="360"/>
        <w:jc w:val="both"/>
      </w:pPr>
      <w:r>
        <w:rPr>
          <w:rFonts w:ascii="Times New Roman" w:cs="Times New Roman" w:eastAsia="Times New Roman" w:hAnsi="Times New Roman"/>
          <w:sz w:val="24"/>
          <w:szCs w:val="24"/>
        </w:rPr>
        <w:t xml:space="preserve">Cumplido el plan, finalizada la liquidación o concluido el período del artículo 48, el juez extingue el pasivo anterior no satisfecho. La exoneración alcanza capital, intereses y accesorios comprendidos, impide nuevas cobranzas y libera a la persona, pero no a codeudores ni garantes salvo disposición o acuerdo propio.</w:t>
      </w:r>
    </w:p>
    <w:p>
      <w:pPr>
        <w:keepNext/>
        <w:spacing w:after="80" w:before="220" w:line="360"/>
        <w:jc w:val="left"/>
      </w:pPr>
      <w:r>
        <w:rPr>
          <w:rFonts w:ascii="Times New Roman" w:cs="Times New Roman" w:eastAsia="Times New Roman" w:hAnsi="Times New Roman"/>
          <w:b/>
          <w:bCs/>
          <w:sz w:val="24"/>
          <w:szCs w:val="24"/>
        </w:rPr>
        <w:t xml:space="preserve">Artículo 55 — Deudas no exonerables</w:t>
      </w:r>
    </w:p>
    <w:p>
      <w:pPr>
        <w:spacing w:after="140" w:line="360"/>
        <w:jc w:val="both"/>
      </w:pPr>
      <w:r>
        <w:rPr>
          <w:rFonts w:ascii="Times New Roman" w:cs="Times New Roman" w:eastAsia="Times New Roman" w:hAnsi="Times New Roman"/>
          <w:sz w:val="24"/>
          <w:szCs w:val="24"/>
        </w:rPr>
        <w:t xml:space="preserve">No se exoneran:</w:t>
      </w:r>
    </w:p>
    <w:p>
      <w:pPr>
        <w:spacing w:after="120" w:line="360"/>
        <w:ind w:left="709" w:hanging="340"/>
        <w:jc w:val="both"/>
      </w:pPr>
      <w:r>
        <w:rPr>
          <w:rFonts w:ascii="Times New Roman" w:cs="Times New Roman" w:eastAsia="Times New Roman" w:hAnsi="Times New Roman"/>
          <w:sz w:val="24"/>
          <w:szCs w:val="24"/>
        </w:rPr>
        <w:t xml:space="preserve">a) alimentos;</w:t>
      </w:r>
    </w:p>
    <w:p>
      <w:pPr>
        <w:spacing w:after="120" w:line="360"/>
        <w:ind w:left="709" w:hanging="340"/>
        <w:jc w:val="both"/>
      </w:pPr>
      <w:r>
        <w:rPr>
          <w:rFonts w:ascii="Times New Roman" w:cs="Times New Roman" w:eastAsia="Times New Roman" w:hAnsi="Times New Roman"/>
          <w:sz w:val="24"/>
          <w:szCs w:val="24"/>
        </w:rPr>
        <w:t xml:space="preserve">b) daños causados con dolo o delito;</w:t>
      </w:r>
    </w:p>
    <w:p>
      <w:pPr>
        <w:spacing w:after="120" w:line="360"/>
        <w:ind w:left="709" w:hanging="340"/>
        <w:jc w:val="both"/>
      </w:pPr>
      <w:r>
        <w:rPr>
          <w:rFonts w:ascii="Times New Roman" w:cs="Times New Roman" w:eastAsia="Times New Roman" w:hAnsi="Times New Roman"/>
          <w:sz w:val="24"/>
          <w:szCs w:val="24"/>
        </w:rPr>
        <w:t xml:space="preserve">c) multas y sanciones penales;</w:t>
      </w:r>
    </w:p>
    <w:p>
      <w:pPr>
        <w:spacing w:after="120" w:line="360"/>
        <w:ind w:left="709" w:hanging="340"/>
        <w:jc w:val="both"/>
      </w:pPr>
      <w:r>
        <w:rPr>
          <w:rFonts w:ascii="Times New Roman" w:cs="Times New Roman" w:eastAsia="Times New Roman" w:hAnsi="Times New Roman"/>
          <w:sz w:val="24"/>
          <w:szCs w:val="24"/>
        </w:rPr>
        <w:t xml:space="preserve">d) créditos obtenidos mediante fraude probado; y</w:t>
      </w:r>
    </w:p>
    <w:p>
      <w:pPr>
        <w:spacing w:after="120" w:line="360"/>
        <w:ind w:left="709" w:hanging="340"/>
        <w:jc w:val="both"/>
      </w:pPr>
      <w:r>
        <w:rPr>
          <w:rFonts w:ascii="Times New Roman" w:cs="Times New Roman" w:eastAsia="Times New Roman" w:hAnsi="Times New Roman"/>
          <w:sz w:val="24"/>
          <w:szCs w:val="24"/>
        </w:rPr>
        <w:t xml:space="preserve">e) obligaciones nacidas después de la apertura.</w:t>
      </w:r>
    </w:p>
    <w:p>
      <w:pPr>
        <w:spacing w:after="140" w:line="360"/>
        <w:jc w:val="both"/>
      </w:pPr>
      <w:r>
        <w:rPr>
          <w:rFonts w:ascii="Times New Roman" w:cs="Times New Roman" w:eastAsia="Times New Roman" w:hAnsi="Times New Roman"/>
          <w:sz w:val="24"/>
          <w:szCs w:val="24"/>
        </w:rPr>
        <w:t xml:space="preserve">Las deudas fiscales personales pueden ser reestructuradas y exoneradas en las condiciones especiales que establezca la legislación tributaria, preservando subsistencia y federalismo fiscal.</w:t>
      </w:r>
    </w:p>
    <w:p>
      <w:pPr>
        <w:keepNext/>
        <w:spacing w:after="80" w:before="220" w:line="360"/>
        <w:jc w:val="left"/>
      </w:pPr>
      <w:r>
        <w:rPr>
          <w:rFonts w:ascii="Times New Roman" w:cs="Times New Roman" w:eastAsia="Times New Roman" w:hAnsi="Times New Roman"/>
          <w:b/>
          <w:bCs/>
          <w:sz w:val="24"/>
          <w:szCs w:val="24"/>
        </w:rPr>
        <w:t xml:space="preserve">Artículo 56 — Revocación e ingresos extraordinarios</w:t>
      </w:r>
    </w:p>
    <w:p>
      <w:pPr>
        <w:spacing w:after="140" w:line="360"/>
        <w:jc w:val="both"/>
      </w:pPr>
      <w:r>
        <w:rPr>
          <w:rFonts w:ascii="Times New Roman" w:cs="Times New Roman" w:eastAsia="Times New Roman" w:hAnsi="Times New Roman"/>
          <w:sz w:val="24"/>
          <w:szCs w:val="24"/>
        </w:rPr>
        <w:t xml:space="preserve">La exoneración puede revocarse dentro de dos (2) años sólo si se prueba ocultamiento doloso de bienes o fraude determinante. Una mejora posterior ordinaria no la revoca.</w:t>
      </w:r>
    </w:p>
    <w:p>
      <w:pPr>
        <w:spacing w:after="140" w:line="360"/>
        <w:jc w:val="both"/>
      </w:pPr>
      <w:r>
        <w:rPr>
          <w:rFonts w:ascii="Times New Roman" w:cs="Times New Roman" w:eastAsia="Times New Roman" w:hAnsi="Times New Roman"/>
          <w:sz w:val="24"/>
          <w:szCs w:val="24"/>
        </w:rPr>
        <w:t xml:space="preserve">Herencias, premios o ingresos extraordinarios recibidos durante un plan u observación se destinan parcialmente a acreedores cuando, descontado el MVH y necesidades extraordinarias, resulte equitativo; el juez fija la proporción sin desalentar trabajo ni reinserción.</w:t>
      </w:r>
    </w:p>
    <w:p>
      <w:pPr>
        <w:keepNext/>
        <w:spacing w:after="80" w:before="220" w:line="360"/>
        <w:jc w:val="left"/>
      </w:pPr>
      <w:r>
        <w:rPr>
          <w:rFonts w:ascii="Times New Roman" w:cs="Times New Roman" w:eastAsia="Times New Roman" w:hAnsi="Times New Roman"/>
          <w:b/>
          <w:bCs/>
          <w:sz w:val="24"/>
          <w:szCs w:val="24"/>
        </w:rPr>
        <w:t xml:space="preserve">Artículo 57 — Rehabilitación y registros</w:t>
      </w:r>
    </w:p>
    <w:p>
      <w:pPr>
        <w:spacing w:after="140" w:line="360"/>
        <w:jc w:val="both"/>
      </w:pPr>
      <w:r>
        <w:rPr>
          <w:rFonts w:ascii="Times New Roman" w:cs="Times New Roman" w:eastAsia="Times New Roman" w:hAnsi="Times New Roman"/>
          <w:sz w:val="24"/>
          <w:szCs w:val="24"/>
        </w:rPr>
        <w:t xml:space="preserve">La exoneración produce rehabilitación inmediata. Dentro de cinco (5) días hábiles deben suprimirse los reportes negativos de las deudas extinguidas y actualizarse los pagados. Sólo puede existir un registro reservado, bajo autoridad pública, para verificar fraude o plazo de nuevo acceso; no puede usarse para scoring, empleo, vivienda, publicidad ni comercialización.</w:t>
      </w:r>
    </w:p>
    <w:p>
      <w:pPr>
        <w:spacing w:after="140" w:line="360"/>
        <w:jc w:val="both"/>
      </w:pPr>
      <w:r>
        <w:rPr>
          <w:rFonts w:ascii="Times New Roman" w:cs="Times New Roman" w:eastAsia="Times New Roman" w:hAnsi="Times New Roman"/>
          <w:sz w:val="24"/>
          <w:szCs w:val="24"/>
        </w:rPr>
        <w:t xml:space="preserve">Es discriminatorio negar empleo, cuenta básica, alquiler o servicio esencial por haberse acogido al régimen. El acceso a nuevo crédito continúa sujeto a evaluación responsable, sin derecho automático al otorgamiento.</w:t>
      </w:r>
    </w:p>
    <w:p>
      <w:pPr>
        <w:keepNext/>
        <w:spacing w:after="80" w:before="220" w:line="360"/>
        <w:jc w:val="left"/>
      </w:pPr>
      <w:r>
        <w:rPr>
          <w:rFonts w:ascii="Times New Roman" w:cs="Times New Roman" w:eastAsia="Times New Roman" w:hAnsi="Times New Roman"/>
          <w:b/>
          <w:bCs/>
          <w:sz w:val="24"/>
          <w:szCs w:val="24"/>
        </w:rPr>
        <w:t xml:space="preserve">Artículo 58 — Nuevo acceso</w:t>
      </w:r>
    </w:p>
    <w:p>
      <w:pPr>
        <w:spacing w:after="140" w:line="360"/>
        <w:jc w:val="both"/>
      </w:pPr>
      <w:r>
        <w:rPr>
          <w:rFonts w:ascii="Times New Roman" w:cs="Times New Roman" w:eastAsia="Times New Roman" w:hAnsi="Times New Roman"/>
          <w:sz w:val="24"/>
          <w:szCs w:val="24"/>
        </w:rPr>
        <w:t xml:space="preserve">No puede obtenerse una nueva exoneración hasta transcurridos siete (7) años desde la anterior, salvo sobreendeudamiento pasivo por enfermedad grave, discapacidad, violencia, desastre, desempleo prolongado u otro hecho extraordinario no imputable, con decisión judicial fundada.</w:t>
      </w:r>
    </w:p>
    <w:p>
      <w:pPr>
        <w:keepNext/>
        <w:spacing w:after="160" w:before="300" w:line="360"/>
        <w:jc w:val="center"/>
      </w:pPr>
      <w:r>
        <w:rPr>
          <w:rFonts w:ascii="Times New Roman" w:cs="Times New Roman" w:eastAsia="Times New Roman" w:hAnsi="Times New Roman"/>
          <w:b/>
          <w:bCs/>
          <w:sz w:val="25"/>
          <w:szCs w:val="25"/>
        </w:rPr>
        <w:t xml:space="preserve">TÍTULO VI — RÉGIMEN TRANSITORIO PARA DEUDAS DESDE 2023</w:t>
      </w:r>
    </w:p>
    <w:p>
      <w:pPr>
        <w:keepNext/>
        <w:spacing w:after="80" w:before="220" w:line="360"/>
        <w:jc w:val="left"/>
      </w:pPr>
      <w:r>
        <w:rPr>
          <w:rFonts w:ascii="Times New Roman" w:cs="Times New Roman" w:eastAsia="Times New Roman" w:hAnsi="Times New Roman"/>
          <w:b/>
          <w:bCs/>
          <w:sz w:val="24"/>
          <w:szCs w:val="24"/>
        </w:rPr>
        <w:t xml:space="preserve">Artículo 59 — Emergencia y vigencia</w:t>
      </w:r>
    </w:p>
    <w:p>
      <w:pPr>
        <w:spacing w:after="140" w:line="360"/>
        <w:jc w:val="both"/>
      </w:pPr>
      <w:r>
        <w:rPr>
          <w:rFonts w:ascii="Times New Roman" w:cs="Times New Roman" w:eastAsia="Times New Roman" w:hAnsi="Times New Roman"/>
          <w:sz w:val="24"/>
          <w:szCs w:val="24"/>
        </w:rPr>
        <w:t xml:space="preserve">Declárase por veinticuatro (24) meses la emergencia en materia de sobreendeudamiento de los hogares respecto de las deudas del artículo 60. El Congreso puede prorrogarla una vez por doce (12) meses, previa evaluación pública. No existe prórroga automática por decreto.</w:t>
      </w:r>
    </w:p>
    <w:p>
      <w:pPr>
        <w:keepNext/>
        <w:spacing w:after="80" w:before="220" w:line="360"/>
        <w:jc w:val="left"/>
      </w:pPr>
      <w:r>
        <w:rPr>
          <w:rFonts w:ascii="Times New Roman" w:cs="Times New Roman" w:eastAsia="Times New Roman" w:hAnsi="Times New Roman"/>
          <w:b/>
          <w:bCs/>
          <w:sz w:val="24"/>
          <w:szCs w:val="24"/>
        </w:rPr>
        <w:t xml:space="preserve">Artículo 60 — Deudas alcanzadas</w:t>
      </w:r>
    </w:p>
    <w:p>
      <w:pPr>
        <w:spacing w:after="140" w:line="360"/>
        <w:jc w:val="both"/>
      </w:pPr>
      <w:r>
        <w:rPr>
          <w:rFonts w:ascii="Times New Roman" w:cs="Times New Roman" w:eastAsia="Times New Roman" w:hAnsi="Times New Roman"/>
          <w:sz w:val="24"/>
          <w:szCs w:val="24"/>
        </w:rPr>
        <w:t xml:space="preserve">Se incluyen las deudas de consumo sin garantía real originadas, ampliadas o refinanciadas desde el 1° de enero de 2023 y pendientes a la entrada en vigencia, así como las que entren en mora durante el período de inscripción.</w:t>
      </w:r>
    </w:p>
    <w:p>
      <w:pPr>
        <w:spacing w:after="140" w:line="360"/>
        <w:jc w:val="both"/>
      </w:pPr>
      <w:r>
        <w:rPr>
          <w:rFonts w:ascii="Times New Roman" w:cs="Times New Roman" w:eastAsia="Times New Roman" w:hAnsi="Times New Roman"/>
          <w:sz w:val="24"/>
          <w:szCs w:val="24"/>
        </w:rPr>
        <w:t xml:space="preserve">Se incluyen préstamos personales, tarjetas, crédito digital, pago diferido y financiación accesoria de comercios. Las deudas anteriores quedan incluidas si fueron novadas, refinanciadas o sustancialmente agravadas desde esa fecha.</w:t>
      </w:r>
    </w:p>
    <w:p>
      <w:pPr>
        <w:keepNext/>
        <w:spacing w:after="80" w:before="220" w:line="360"/>
        <w:jc w:val="left"/>
      </w:pPr>
      <w:r>
        <w:rPr>
          <w:rFonts w:ascii="Times New Roman" w:cs="Times New Roman" w:eastAsia="Times New Roman" w:hAnsi="Times New Roman"/>
          <w:b/>
          <w:bCs/>
          <w:sz w:val="24"/>
          <w:szCs w:val="24"/>
        </w:rPr>
        <w:t xml:space="preserve">Artículo 61 — Beneficiarios</w:t>
      </w:r>
    </w:p>
    <w:p>
      <w:pPr>
        <w:spacing w:after="140" w:line="360"/>
        <w:jc w:val="both"/>
      </w:pPr>
      <w:r>
        <w:rPr>
          <w:rFonts w:ascii="Times New Roman" w:cs="Times New Roman" w:eastAsia="Times New Roman" w:hAnsi="Times New Roman"/>
          <w:sz w:val="24"/>
          <w:szCs w:val="24"/>
        </w:rPr>
        <w:t xml:space="preserve">Puede adherir toda persona humana que:</w:t>
      </w:r>
    </w:p>
    <w:p>
      <w:pPr>
        <w:spacing w:after="120" w:line="360"/>
        <w:ind w:left="709" w:hanging="340"/>
        <w:jc w:val="both"/>
      </w:pPr>
      <w:r>
        <w:rPr>
          <w:rFonts w:ascii="Times New Roman" w:cs="Times New Roman" w:eastAsia="Times New Roman" w:hAnsi="Times New Roman"/>
          <w:sz w:val="24"/>
          <w:szCs w:val="24"/>
        </w:rPr>
        <w:t xml:space="preserve">a) esté en mora, refinanciación reiterada, pago mínimo persistente o riesgo cierto de incumplimiento; y</w:t>
      </w:r>
    </w:p>
    <w:p>
      <w:pPr>
        <w:spacing w:after="120" w:line="360"/>
        <w:ind w:left="709" w:hanging="340"/>
        <w:jc w:val="both"/>
      </w:pPr>
      <w:r>
        <w:rPr>
          <w:rFonts w:ascii="Times New Roman" w:cs="Times New Roman" w:eastAsia="Times New Roman" w:hAnsi="Times New Roman"/>
          <w:sz w:val="24"/>
          <w:szCs w:val="24"/>
        </w:rPr>
        <w:t xml:space="preserve">b) no pueda cumplir sin vulnerar el MVH.</w:t>
      </w:r>
    </w:p>
    <w:p>
      <w:pPr>
        <w:spacing w:after="140" w:line="360"/>
        <w:jc w:val="both"/>
      </w:pPr>
      <w:r>
        <w:rPr>
          <w:rFonts w:ascii="Times New Roman" w:cs="Times New Roman" w:eastAsia="Times New Roman" w:hAnsi="Times New Roman"/>
          <w:sz w:val="24"/>
          <w:szCs w:val="24"/>
        </w:rPr>
        <w:t xml:space="preserve">No hay exclusión por tipo de empleo ni tope rígido de ingreso. La existencia de activos líquidos no esenciales suficientes para cancelar la deuda puede justificar rechazo total o parcial, previa audiencia y sin afectar vivienda, trabajo ni reservas razonables del hogar.</w:t>
      </w:r>
    </w:p>
    <w:p>
      <w:pPr>
        <w:keepNext/>
        <w:spacing w:after="80" w:before="220" w:line="360"/>
        <w:jc w:val="left"/>
      </w:pPr>
      <w:r>
        <w:rPr>
          <w:rFonts w:ascii="Times New Roman" w:cs="Times New Roman" w:eastAsia="Times New Roman" w:hAnsi="Times New Roman"/>
          <w:b/>
          <w:bCs/>
          <w:sz w:val="24"/>
          <w:szCs w:val="24"/>
        </w:rPr>
        <w:t xml:space="preserve">Artículo 62 — Recalculo obligatorio</w:t>
      </w:r>
    </w:p>
    <w:p>
      <w:pPr>
        <w:spacing w:after="140" w:line="360"/>
        <w:jc w:val="both"/>
      </w:pPr>
      <w:r>
        <w:rPr>
          <w:rFonts w:ascii="Times New Roman" w:cs="Times New Roman" w:eastAsia="Times New Roman" w:hAnsi="Times New Roman"/>
          <w:sz w:val="24"/>
          <w:szCs w:val="24"/>
        </w:rPr>
        <w:t xml:space="preserve">Solicitada la adhesión, el acreedor debe recalcular sobre la deuda auditada:</w:t>
      </w:r>
    </w:p>
    <w:p>
      <w:pPr>
        <w:spacing w:after="120" w:line="360"/>
        <w:ind w:left="709" w:hanging="340"/>
        <w:jc w:val="both"/>
      </w:pPr>
      <w:r>
        <w:rPr>
          <w:rFonts w:ascii="Times New Roman" w:cs="Times New Roman" w:eastAsia="Times New Roman" w:hAnsi="Times New Roman"/>
          <w:sz w:val="24"/>
          <w:szCs w:val="24"/>
        </w:rPr>
        <w:t xml:space="preserve">a) condonación del cien por ciento (100 %) de intereses punitorios, penalidades y cargos automáticos de cobranza;</w:t>
      </w:r>
    </w:p>
    <w:p>
      <w:pPr>
        <w:spacing w:after="120" w:line="360"/>
        <w:ind w:left="709" w:hanging="340"/>
        <w:jc w:val="both"/>
      </w:pPr>
      <w:r>
        <w:rPr>
          <w:rFonts w:ascii="Times New Roman" w:cs="Times New Roman" w:eastAsia="Times New Roman" w:hAnsi="Times New Roman"/>
          <w:sz w:val="24"/>
          <w:szCs w:val="24"/>
        </w:rPr>
        <w:t xml:space="preserve">b) eliminación de capitalizaciones y cargos ilegales;</w:t>
      </w:r>
    </w:p>
    <w:p>
      <w:pPr>
        <w:spacing w:after="120" w:line="360"/>
        <w:ind w:left="709" w:hanging="340"/>
        <w:jc w:val="both"/>
      </w:pPr>
      <w:r>
        <w:rPr>
          <w:rFonts w:ascii="Times New Roman" w:cs="Times New Roman" w:eastAsia="Times New Roman" w:hAnsi="Times New Roman"/>
          <w:sz w:val="24"/>
          <w:szCs w:val="24"/>
        </w:rPr>
        <w:t xml:space="preserve">c) imputación de pagos en la forma más favorable legalmente admisible; y</w:t>
      </w:r>
    </w:p>
    <w:p>
      <w:pPr>
        <w:spacing w:after="120" w:line="360"/>
        <w:ind w:left="709" w:hanging="340"/>
        <w:jc w:val="both"/>
      </w:pPr>
      <w:r>
        <w:rPr>
          <w:rFonts w:ascii="Times New Roman" w:cs="Times New Roman" w:eastAsia="Times New Roman" w:hAnsi="Times New Roman"/>
          <w:sz w:val="24"/>
          <w:szCs w:val="24"/>
        </w:rPr>
        <w:t xml:space="preserve">d) separación expresa de capital e interés compensatorio válido.</w:t>
      </w:r>
    </w:p>
    <w:p>
      <w:pPr>
        <w:spacing w:after="140" w:line="360"/>
        <w:jc w:val="both"/>
      </w:pPr>
      <w:r>
        <w:rPr>
          <w:rFonts w:ascii="Times New Roman" w:cs="Times New Roman" w:eastAsia="Times New Roman" w:hAnsi="Times New Roman"/>
          <w:sz w:val="24"/>
          <w:szCs w:val="24"/>
        </w:rPr>
        <w:t xml:space="preserve">No hay quita automática de capital. La quita procede por acuerdo o por decisión judicial conforme los artículos 20, 49, 50 y 54.</w:t>
      </w:r>
    </w:p>
    <w:p>
      <w:pPr>
        <w:keepNext/>
        <w:spacing w:after="80" w:before="220" w:line="360"/>
        <w:jc w:val="left"/>
      </w:pPr>
      <w:r>
        <w:rPr>
          <w:rFonts w:ascii="Times New Roman" w:cs="Times New Roman" w:eastAsia="Times New Roman" w:hAnsi="Times New Roman"/>
          <w:b/>
          <w:bCs/>
          <w:sz w:val="24"/>
          <w:szCs w:val="24"/>
        </w:rPr>
        <w:t xml:space="preserve">Artículo 63 — Plan transitorio estándar</w:t>
      </w:r>
    </w:p>
    <w:p>
      <w:pPr>
        <w:spacing w:after="140" w:line="360"/>
        <w:jc w:val="both"/>
      </w:pPr>
      <w:r>
        <w:rPr>
          <w:rFonts w:ascii="Times New Roman" w:cs="Times New Roman" w:eastAsia="Times New Roman" w:hAnsi="Times New Roman"/>
          <w:sz w:val="24"/>
          <w:szCs w:val="24"/>
        </w:rPr>
        <w:t xml:space="preserve">El acreedor debe ofrecer un plan con:</w:t>
      </w:r>
    </w:p>
    <w:p>
      <w:pPr>
        <w:spacing w:after="120" w:line="360"/>
        <w:ind w:left="709" w:hanging="340"/>
        <w:jc w:val="both"/>
      </w:pPr>
      <w:r>
        <w:rPr>
          <w:rFonts w:ascii="Times New Roman" w:cs="Times New Roman" w:eastAsia="Times New Roman" w:hAnsi="Times New Roman"/>
          <w:sz w:val="24"/>
          <w:szCs w:val="24"/>
        </w:rPr>
        <w:t xml:space="preserve">a) gracia de noventa (90) días, reducible a pedido de la persona;</w:t>
      </w:r>
    </w:p>
    <w:p>
      <w:pPr>
        <w:spacing w:after="120" w:line="360"/>
        <w:ind w:left="709" w:hanging="340"/>
        <w:jc w:val="both"/>
      </w:pPr>
      <w:r>
        <w:rPr>
          <w:rFonts w:ascii="Times New Roman" w:cs="Times New Roman" w:eastAsia="Times New Roman" w:hAnsi="Times New Roman"/>
          <w:sz w:val="24"/>
          <w:szCs w:val="24"/>
        </w:rPr>
        <w:t xml:space="preserve">b) hasta sesenta (60) cuotas;</w:t>
      </w:r>
    </w:p>
    <w:p>
      <w:pPr>
        <w:spacing w:after="120" w:line="360"/>
        <w:ind w:left="709" w:hanging="340"/>
        <w:jc w:val="both"/>
      </w:pPr>
      <w:r>
        <w:rPr>
          <w:rFonts w:ascii="Times New Roman" w:cs="Times New Roman" w:eastAsia="Times New Roman" w:hAnsi="Times New Roman"/>
          <w:sz w:val="24"/>
          <w:szCs w:val="24"/>
        </w:rPr>
        <w:t xml:space="preserve">c) cuota limitada por el artículo 37;</w:t>
      </w:r>
    </w:p>
    <w:p>
      <w:pPr>
        <w:spacing w:after="120" w:line="360"/>
        <w:ind w:left="709" w:hanging="340"/>
        <w:jc w:val="both"/>
      </w:pPr>
      <w:r>
        <w:rPr>
          <w:rFonts w:ascii="Times New Roman" w:cs="Times New Roman" w:eastAsia="Times New Roman" w:hAnsi="Times New Roman"/>
          <w:sz w:val="24"/>
          <w:szCs w:val="24"/>
        </w:rPr>
        <w:t xml:space="preserve">d) tasa no superior a la menor entre la tasa compensatoria original válida, la TRCC comparable y la tasa TAMAR convertida a base efectiva anual más veinticinco (25) puntos porcentuales;</w:t>
      </w:r>
    </w:p>
    <w:p>
      <w:pPr>
        <w:spacing w:after="120" w:line="360"/>
        <w:ind w:left="709" w:hanging="340"/>
        <w:jc w:val="both"/>
      </w:pPr>
      <w:r>
        <w:rPr>
          <w:rFonts w:ascii="Times New Roman" w:cs="Times New Roman" w:eastAsia="Times New Roman" w:hAnsi="Times New Roman"/>
          <w:sz w:val="24"/>
          <w:szCs w:val="24"/>
        </w:rPr>
        <w:t xml:space="preserve">e) ausencia de comisiones, seguros nuevos o gastos de adhesión; y</w:t>
      </w:r>
    </w:p>
    <w:p>
      <w:pPr>
        <w:spacing w:after="120" w:line="360"/>
        <w:ind w:left="709" w:hanging="340"/>
        <w:jc w:val="both"/>
      </w:pPr>
      <w:r>
        <w:rPr>
          <w:rFonts w:ascii="Times New Roman" w:cs="Times New Roman" w:eastAsia="Times New Roman" w:hAnsi="Times New Roman"/>
          <w:sz w:val="24"/>
          <w:szCs w:val="24"/>
        </w:rPr>
        <w:t xml:space="preserve">f) cancelación anticipada sin cargo.</w:t>
      </w:r>
    </w:p>
    <w:p>
      <w:pPr>
        <w:spacing w:after="140" w:line="360"/>
        <w:jc w:val="both"/>
      </w:pPr>
      <w:r>
        <w:rPr>
          <w:rFonts w:ascii="Times New Roman" w:cs="Times New Roman" w:eastAsia="Times New Roman" w:hAnsi="Times New Roman"/>
          <w:sz w:val="24"/>
          <w:szCs w:val="24"/>
        </w:rPr>
        <w:t xml:space="preserve">Todas las referencias se comparan en CFTEA homogéneo. El BCRA publica la metodología de conversión y un simulador abierto.</w:t>
      </w:r>
    </w:p>
    <w:p>
      <w:pPr>
        <w:keepNext/>
        <w:spacing w:after="80" w:before="220" w:line="360"/>
        <w:jc w:val="left"/>
      </w:pPr>
      <w:r>
        <w:rPr>
          <w:rFonts w:ascii="Times New Roman" w:cs="Times New Roman" w:eastAsia="Times New Roman" w:hAnsi="Times New Roman"/>
          <w:b/>
          <w:bCs/>
          <w:sz w:val="24"/>
          <w:szCs w:val="24"/>
        </w:rPr>
        <w:t xml:space="preserve">Artículo 64 — Insuficiencia del plan</w:t>
      </w:r>
    </w:p>
    <w:p>
      <w:pPr>
        <w:spacing w:after="140" w:line="360"/>
        <w:jc w:val="both"/>
      </w:pPr>
      <w:r>
        <w:rPr>
          <w:rFonts w:ascii="Times New Roman" w:cs="Times New Roman" w:eastAsia="Times New Roman" w:hAnsi="Times New Roman"/>
          <w:sz w:val="24"/>
          <w:szCs w:val="24"/>
        </w:rPr>
        <w:t xml:space="preserve">Si la CMP no permite amortizar la deuda auditada dentro de sesenta (60) meses, no se genera saldo globo ni cuota inviable. La persona es derivada al procedimiento integral de los Títulos IV o V, donde pueden acordarse o decidirse quitas según conducta, capacidad y alternativa de liquidación.</w:t>
      </w:r>
    </w:p>
    <w:p>
      <w:pPr>
        <w:keepNext/>
        <w:spacing w:after="80" w:before="220" w:line="360"/>
        <w:jc w:val="left"/>
      </w:pPr>
      <w:r>
        <w:rPr>
          <w:rFonts w:ascii="Times New Roman" w:cs="Times New Roman" w:eastAsia="Times New Roman" w:hAnsi="Times New Roman"/>
          <w:b/>
          <w:bCs/>
          <w:sz w:val="24"/>
          <w:szCs w:val="24"/>
        </w:rPr>
        <w:t xml:space="preserve">Artículo 65 — Acciones y reporte</w:t>
      </w:r>
    </w:p>
    <w:p>
      <w:pPr>
        <w:spacing w:after="140" w:line="360"/>
        <w:jc w:val="both"/>
      </w:pPr>
      <w:r>
        <w:rPr>
          <w:rFonts w:ascii="Times New Roman" w:cs="Times New Roman" w:eastAsia="Times New Roman" w:hAnsi="Times New Roman"/>
          <w:sz w:val="24"/>
          <w:szCs w:val="24"/>
        </w:rPr>
        <w:t xml:space="preserve">Desde la solicitud completa y mientras se cumpla el plan se aplican los artículos 28, 29 y 34. Los pagos se imputan al plan y toda acción judicial debe adecuarse. El incumplimiento no revive conceptos condonados ni permite capitalización retroactiva; habilita revisión y, en su caso, el cobro del saldo legítimo.</w:t>
      </w:r>
    </w:p>
    <w:p>
      <w:pPr>
        <w:keepNext/>
        <w:spacing w:after="80" w:before="220" w:line="360"/>
        <w:jc w:val="left"/>
      </w:pPr>
      <w:r>
        <w:rPr>
          <w:rFonts w:ascii="Times New Roman" w:cs="Times New Roman" w:eastAsia="Times New Roman" w:hAnsi="Times New Roman"/>
          <w:b/>
          <w:bCs/>
          <w:sz w:val="24"/>
          <w:szCs w:val="24"/>
        </w:rPr>
        <w:t xml:space="preserve">Artículo 66 — Deuda hipotecaria de vivienda</w:t>
      </w:r>
    </w:p>
    <w:p>
      <w:pPr>
        <w:spacing w:after="140" w:line="360"/>
        <w:jc w:val="both"/>
      </w:pPr>
      <w:r>
        <w:rPr>
          <w:rFonts w:ascii="Times New Roman" w:cs="Times New Roman" w:eastAsia="Times New Roman" w:hAnsi="Times New Roman"/>
          <w:sz w:val="24"/>
          <w:szCs w:val="24"/>
        </w:rPr>
        <w:t xml:space="preserve">La persona cuya cuota hipotecaria de vivienda única supere el treinta y cinco por ciento (35 %) del INCH o afecte el MVH puede solicitar una instancia de negociación protegida de noventa (90) días. Durante ella se suspende la ejecución por decisión judicial abreviada y se evalúan extensión, cambio de fecha, tasa, moneda, seguros, espera o venta voluntaria.</w:t>
      </w:r>
    </w:p>
    <w:p>
      <w:pPr>
        <w:spacing w:after="140" w:line="360"/>
        <w:jc w:val="both"/>
      </w:pPr>
      <w:r>
        <w:rPr>
          <w:rFonts w:ascii="Times New Roman" w:cs="Times New Roman" w:eastAsia="Times New Roman" w:hAnsi="Times New Roman"/>
          <w:sz w:val="24"/>
          <w:szCs w:val="24"/>
        </w:rPr>
        <w:t xml:space="preserve">No se altera el capital ni la garantía sin consentimiento o sentencia fundada en normas generales. La ejecución es último recurso y debe respetar el artículo 53.</w:t>
      </w:r>
    </w:p>
    <w:p>
      <w:pPr>
        <w:keepNext/>
        <w:spacing w:after="80" w:before="220" w:line="360"/>
        <w:jc w:val="left"/>
      </w:pPr>
      <w:r>
        <w:rPr>
          <w:rFonts w:ascii="Times New Roman" w:cs="Times New Roman" w:eastAsia="Times New Roman" w:hAnsi="Times New Roman"/>
          <w:b/>
          <w:bCs/>
          <w:sz w:val="24"/>
          <w:szCs w:val="24"/>
        </w:rPr>
        <w:t xml:space="preserve">Artículo 67 — Prohibición de rescate público de cartera</w:t>
      </w:r>
    </w:p>
    <w:p>
      <w:pPr>
        <w:spacing w:after="140" w:line="360"/>
        <w:jc w:val="both"/>
      </w:pPr>
      <w:r>
        <w:rPr>
          <w:rFonts w:ascii="Times New Roman" w:cs="Times New Roman" w:eastAsia="Times New Roman" w:hAnsi="Times New Roman"/>
          <w:sz w:val="24"/>
          <w:szCs w:val="24"/>
        </w:rPr>
        <w:t xml:space="preserve">El Estado Nacional, el BCRA, la Administración Nacional de la Seguridad Social, el Fondo de Garantía de Sustentabilidad y los bancos públicos no pueden comprar, garantizar ni compensar cartera privada por aplicación de este régimen, ni cubrir incobrables o diferencias de tasa.</w:t>
      </w:r>
    </w:p>
    <w:p>
      <w:pPr>
        <w:spacing w:after="140" w:line="360"/>
        <w:jc w:val="both"/>
      </w:pPr>
      <w:r>
        <w:rPr>
          <w:rFonts w:ascii="Times New Roman" w:cs="Times New Roman" w:eastAsia="Times New Roman" w:hAnsi="Times New Roman"/>
          <w:sz w:val="24"/>
          <w:szCs w:val="24"/>
        </w:rPr>
        <w:t xml:space="preserve">La prohibición no alcanza la infraestructura administrativa, el patrocinio jurídico, la educación, la supervisión ni programas crediticios públicos preexistentes otorgados directamente a sus beneficiarios.</w:t>
      </w:r>
    </w:p>
    <w:p>
      <w:pPr>
        <w:keepNext/>
        <w:spacing w:after="80" w:before="220" w:line="360"/>
        <w:jc w:val="left"/>
      </w:pPr>
      <w:r>
        <w:rPr>
          <w:rFonts w:ascii="Times New Roman" w:cs="Times New Roman" w:eastAsia="Times New Roman" w:hAnsi="Times New Roman"/>
          <w:b/>
          <w:bCs/>
          <w:sz w:val="24"/>
          <w:szCs w:val="24"/>
        </w:rPr>
        <w:t xml:space="preserve">Artículo 68 — Evaluación y cierre</w:t>
      </w:r>
    </w:p>
    <w:p>
      <w:pPr>
        <w:spacing w:after="140" w:line="360"/>
        <w:jc w:val="both"/>
      </w:pPr>
      <w:r>
        <w:rPr>
          <w:rFonts w:ascii="Times New Roman" w:cs="Times New Roman" w:eastAsia="Times New Roman" w:hAnsi="Times New Roman"/>
          <w:sz w:val="24"/>
          <w:szCs w:val="24"/>
        </w:rPr>
        <w:t xml:space="preserve">Doce (12) meses antes del vencimiento, la autoridad de aplicación presenta al Congreso una evaluación con adhesión, cumplimiento, quitas, costo, litigiosidad, mora, inclusión, oferta de crédito y distribución por proveedor y grupo social. La continuidad requiere ley formal.</w:t>
      </w:r>
    </w:p>
    <w:p>
      <w:pPr>
        <w:keepNext/>
        <w:spacing w:after="160" w:before="300" w:line="360"/>
        <w:jc w:val="center"/>
      </w:pPr>
      <w:r>
        <w:rPr>
          <w:rFonts w:ascii="Times New Roman" w:cs="Times New Roman" w:eastAsia="Times New Roman" w:hAnsi="Times New Roman"/>
          <w:b/>
          <w:bCs/>
          <w:sz w:val="25"/>
          <w:szCs w:val="25"/>
        </w:rPr>
        <w:t xml:space="preserve">TÍTULO VII — AUTORIDADES, DATOS, FINANCIAMIENTO Y SANCIONES</w:t>
      </w:r>
    </w:p>
    <w:p>
      <w:pPr>
        <w:keepNext/>
        <w:spacing w:after="80" w:before="220" w:line="360"/>
        <w:jc w:val="left"/>
      </w:pPr>
      <w:r>
        <w:rPr>
          <w:rFonts w:ascii="Times New Roman" w:cs="Times New Roman" w:eastAsia="Times New Roman" w:hAnsi="Times New Roman"/>
          <w:b/>
          <w:bCs/>
          <w:sz w:val="24"/>
          <w:szCs w:val="24"/>
        </w:rPr>
        <w:t xml:space="preserve">Artículo 69 — Autoridades de aplicación</w:t>
      </w:r>
    </w:p>
    <w:p>
      <w:pPr>
        <w:spacing w:after="140" w:line="360"/>
        <w:jc w:val="both"/>
      </w:pPr>
      <w:r>
        <w:rPr>
          <w:rFonts w:ascii="Times New Roman" w:cs="Times New Roman" w:eastAsia="Times New Roman" w:hAnsi="Times New Roman"/>
          <w:sz w:val="24"/>
          <w:szCs w:val="24"/>
        </w:rPr>
        <w:t xml:space="preserve">La autoridad nacional de defensa del consumidor aplica los procedimientos, trato digno, publicidad y sanciones de consumo. El BCRA aplica evaluación de solvencia, límites, información, supervisión prudencial y reglas a sujetos bajo su órbita. La Agencia de Acceso a la Información Pública interviene en datos y automatización. Actúan coordinadamente sin reducir competencias locales.</w:t>
      </w:r>
    </w:p>
    <w:p>
      <w:pPr>
        <w:keepNext/>
        <w:spacing w:after="80" w:before="220" w:line="360"/>
        <w:jc w:val="left"/>
      </w:pPr>
      <w:r>
        <w:rPr>
          <w:rFonts w:ascii="Times New Roman" w:cs="Times New Roman" w:eastAsia="Times New Roman" w:hAnsi="Times New Roman"/>
          <w:b/>
          <w:bCs/>
          <w:sz w:val="24"/>
          <w:szCs w:val="24"/>
        </w:rPr>
        <w:t xml:space="preserve">Artículo 70 — Consejo Federal</w:t>
      </w:r>
    </w:p>
    <w:p>
      <w:pPr>
        <w:spacing w:after="140" w:line="360"/>
        <w:jc w:val="both"/>
      </w:pPr>
      <w:r>
        <w:rPr>
          <w:rFonts w:ascii="Times New Roman" w:cs="Times New Roman" w:eastAsia="Times New Roman" w:hAnsi="Times New Roman"/>
          <w:sz w:val="24"/>
          <w:szCs w:val="24"/>
        </w:rPr>
        <w:t xml:space="preserve">Créase un Consejo Federal de Sobreendeudamiento con representación de Nación, provincias, Ciudad Autónoma de Buenos Aires, BCRA, asociaciones de consumidores, universidades, organizaciones de deudores y proveedores. Sus dictámenes son públicos y no vinculantes. Debe asegurar mayoría de representantes públicos y sociales independientes de los sujetos regulados.</w:t>
      </w:r>
    </w:p>
    <w:p>
      <w:pPr>
        <w:keepNext/>
        <w:spacing w:after="80" w:before="220" w:line="360"/>
        <w:jc w:val="left"/>
      </w:pPr>
      <w:r>
        <w:rPr>
          <w:rFonts w:ascii="Times New Roman" w:cs="Times New Roman" w:eastAsia="Times New Roman" w:hAnsi="Times New Roman"/>
          <w:b/>
          <w:bCs/>
          <w:sz w:val="24"/>
          <w:szCs w:val="24"/>
        </w:rPr>
        <w:t xml:space="preserve">Artículo 71 — Funciones del BCRA</w:t>
      </w:r>
    </w:p>
    <w:p>
      <w:pPr>
        <w:spacing w:after="140" w:line="360"/>
        <w:jc w:val="both"/>
      </w:pPr>
      <w:r>
        <w:rPr>
          <w:rFonts w:ascii="Times New Roman" w:cs="Times New Roman" w:eastAsia="Times New Roman" w:hAnsi="Times New Roman"/>
          <w:sz w:val="24"/>
          <w:szCs w:val="24"/>
        </w:rPr>
        <w:t xml:space="preserve">El BCRA debe:</w:t>
      </w:r>
    </w:p>
    <w:p>
      <w:pPr>
        <w:spacing w:after="120" w:line="360"/>
        <w:ind w:left="709" w:hanging="340"/>
        <w:jc w:val="both"/>
      </w:pPr>
      <w:r>
        <w:rPr>
          <w:rFonts w:ascii="Times New Roman" w:cs="Times New Roman" w:eastAsia="Times New Roman" w:hAnsi="Times New Roman"/>
          <w:sz w:val="24"/>
          <w:szCs w:val="24"/>
        </w:rPr>
        <w:t xml:space="preserve">a) asegurar reporte integral de bancos, PNFC, PSP, fintech, tarjetas y pago diferido;</w:t>
      </w:r>
    </w:p>
    <w:p>
      <w:pPr>
        <w:spacing w:after="120" w:line="360"/>
        <w:ind w:left="709" w:hanging="340"/>
        <w:jc w:val="both"/>
      </w:pPr>
      <w:r>
        <w:rPr>
          <w:rFonts w:ascii="Times New Roman" w:cs="Times New Roman" w:eastAsia="Times New Roman" w:hAnsi="Times New Roman"/>
          <w:sz w:val="24"/>
          <w:szCs w:val="24"/>
        </w:rPr>
        <w:t xml:space="preserve">b) publicar la TRCC y metodología;</w:t>
      </w:r>
    </w:p>
    <w:p>
      <w:pPr>
        <w:spacing w:after="120" w:line="360"/>
        <w:ind w:left="709" w:hanging="340"/>
        <w:jc w:val="both"/>
      </w:pPr>
      <w:r>
        <w:rPr>
          <w:rFonts w:ascii="Times New Roman" w:cs="Times New Roman" w:eastAsia="Times New Roman" w:hAnsi="Times New Roman"/>
          <w:sz w:val="24"/>
          <w:szCs w:val="24"/>
        </w:rPr>
        <w:t xml:space="preserve">c) supervisar asequibilidad y modelos automatizados;</w:t>
      </w:r>
    </w:p>
    <w:p>
      <w:pPr>
        <w:spacing w:after="120" w:line="360"/>
        <w:ind w:left="709" w:hanging="340"/>
        <w:jc w:val="both"/>
      </w:pPr>
      <w:r>
        <w:rPr>
          <w:rFonts w:ascii="Times New Roman" w:cs="Times New Roman" w:eastAsia="Times New Roman" w:hAnsi="Times New Roman"/>
          <w:sz w:val="24"/>
          <w:szCs w:val="24"/>
        </w:rPr>
        <w:t xml:space="preserve">d) facilitar, con consentimiento, una vista consolidada de deudas;</w:t>
      </w:r>
    </w:p>
    <w:p>
      <w:pPr>
        <w:spacing w:after="120" w:line="360"/>
        <w:ind w:left="709" w:hanging="340"/>
        <w:jc w:val="both"/>
      </w:pPr>
      <w:r>
        <w:rPr>
          <w:rFonts w:ascii="Times New Roman" w:cs="Times New Roman" w:eastAsia="Times New Roman" w:hAnsi="Times New Roman"/>
          <w:sz w:val="24"/>
          <w:szCs w:val="24"/>
        </w:rPr>
        <w:t xml:space="preserve">e) controlar que refinanciaciones, ventas y castigos no oculten mora; y</w:t>
      </w:r>
    </w:p>
    <w:p>
      <w:pPr>
        <w:spacing w:after="120" w:line="360"/>
        <w:ind w:left="709" w:hanging="340"/>
        <w:jc w:val="both"/>
      </w:pPr>
      <w:r>
        <w:rPr>
          <w:rFonts w:ascii="Times New Roman" w:cs="Times New Roman" w:eastAsia="Times New Roman" w:hAnsi="Times New Roman"/>
          <w:sz w:val="24"/>
          <w:szCs w:val="24"/>
        </w:rPr>
        <w:t xml:space="preserve">f) sancionar el arbitraje regulatorio y la fragmentación de operaciones.</w:t>
      </w:r>
    </w:p>
    <w:p>
      <w:pPr>
        <w:keepNext/>
        <w:spacing w:after="80" w:before="220" w:line="360"/>
        <w:jc w:val="left"/>
      </w:pPr>
      <w:r>
        <w:rPr>
          <w:rFonts w:ascii="Times New Roman" w:cs="Times New Roman" w:eastAsia="Times New Roman" w:hAnsi="Times New Roman"/>
          <w:b/>
          <w:bCs/>
          <w:sz w:val="24"/>
          <w:szCs w:val="24"/>
        </w:rPr>
        <w:t xml:space="preserve">Artículo 72 — Tablero público</w:t>
      </w:r>
    </w:p>
    <w:p>
      <w:pPr>
        <w:spacing w:after="140" w:line="360"/>
        <w:jc w:val="both"/>
      </w:pPr>
      <w:r>
        <w:rPr>
          <w:rFonts w:ascii="Times New Roman" w:cs="Times New Roman" w:eastAsia="Times New Roman" w:hAnsi="Times New Roman"/>
          <w:sz w:val="24"/>
          <w:szCs w:val="24"/>
        </w:rPr>
        <w:t xml:space="preserve">El BCRA publica mensualmente, en formato abierto y con series revisables:</w:t>
      </w:r>
    </w:p>
    <w:p>
      <w:pPr>
        <w:spacing w:after="120" w:line="360"/>
        <w:ind w:left="709" w:hanging="340"/>
        <w:jc w:val="both"/>
      </w:pPr>
      <w:r>
        <w:rPr>
          <w:rFonts w:ascii="Times New Roman" w:cs="Times New Roman" w:eastAsia="Times New Roman" w:hAnsi="Times New Roman"/>
          <w:sz w:val="24"/>
          <w:szCs w:val="24"/>
        </w:rPr>
        <w:t xml:space="preserve">a) saldo, cantidad de personas y mora por días de atraso;</w:t>
      </w:r>
    </w:p>
    <w:p>
      <w:pPr>
        <w:spacing w:after="120" w:line="360"/>
        <w:ind w:left="709" w:hanging="340"/>
        <w:jc w:val="both"/>
      </w:pPr>
      <w:r>
        <w:rPr>
          <w:rFonts w:ascii="Times New Roman" w:cs="Times New Roman" w:eastAsia="Times New Roman" w:hAnsi="Times New Roman"/>
          <w:sz w:val="24"/>
          <w:szCs w:val="24"/>
        </w:rPr>
        <w:t xml:space="preserve">b) transiciones entre situación regular, mora, reestructuración, cura y castigo;</w:t>
      </w:r>
    </w:p>
    <w:p>
      <w:pPr>
        <w:spacing w:after="120" w:line="360"/>
        <w:ind w:left="709" w:hanging="340"/>
        <w:jc w:val="both"/>
      </w:pPr>
      <w:r>
        <w:rPr>
          <w:rFonts w:ascii="Times New Roman" w:cs="Times New Roman" w:eastAsia="Times New Roman" w:hAnsi="Times New Roman"/>
          <w:sz w:val="24"/>
          <w:szCs w:val="24"/>
        </w:rPr>
        <w:t xml:space="preserve">c) producto, proveedor, tasa, CFTEA, cuota e ingreso cuando sea estadísticamente válido;</w:t>
      </w:r>
    </w:p>
    <w:p>
      <w:pPr>
        <w:spacing w:after="120" w:line="360"/>
        <w:ind w:left="709" w:hanging="340"/>
        <w:jc w:val="both"/>
      </w:pPr>
      <w:r>
        <w:rPr>
          <w:rFonts w:ascii="Times New Roman" w:cs="Times New Roman" w:eastAsia="Times New Roman" w:hAnsi="Times New Roman"/>
          <w:sz w:val="24"/>
          <w:szCs w:val="24"/>
        </w:rPr>
        <w:t xml:space="preserve">d) concentración y superposición entre proveedores;</w:t>
      </w:r>
    </w:p>
    <w:p>
      <w:pPr>
        <w:spacing w:after="120" w:line="360"/>
        <w:ind w:left="709" w:hanging="340"/>
        <w:jc w:val="both"/>
      </w:pPr>
      <w:r>
        <w:rPr>
          <w:rFonts w:ascii="Times New Roman" w:cs="Times New Roman" w:eastAsia="Times New Roman" w:hAnsi="Times New Roman"/>
          <w:sz w:val="24"/>
          <w:szCs w:val="24"/>
        </w:rPr>
        <w:t xml:space="preserve">e) resultados de planes y cobranzas; y</w:t>
      </w:r>
    </w:p>
    <w:p>
      <w:pPr>
        <w:spacing w:after="120" w:line="360"/>
        <w:ind w:left="709" w:hanging="340"/>
        <w:jc w:val="both"/>
      </w:pPr>
      <w:r>
        <w:rPr>
          <w:rFonts w:ascii="Times New Roman" w:cs="Times New Roman" w:eastAsia="Times New Roman" w:hAnsi="Times New Roman"/>
          <w:sz w:val="24"/>
          <w:szCs w:val="24"/>
        </w:rPr>
        <w:t xml:space="preserve">f) cambios metodológicos y quiebres de comparabilidad.</w:t>
      </w:r>
    </w:p>
    <w:p>
      <w:pPr>
        <w:spacing w:after="140" w:line="360"/>
        <w:jc w:val="both"/>
      </w:pPr>
      <w:r>
        <w:rPr>
          <w:rFonts w:ascii="Times New Roman" w:cs="Times New Roman" w:eastAsia="Times New Roman" w:hAnsi="Times New Roman"/>
          <w:sz w:val="24"/>
          <w:szCs w:val="24"/>
        </w:rPr>
        <w:t xml:space="preserve">Los datos son anonimizados y no permiten reidentificación.</w:t>
      </w:r>
    </w:p>
    <w:p>
      <w:pPr>
        <w:keepNext/>
        <w:spacing w:after="80" w:before="220" w:line="360"/>
        <w:jc w:val="left"/>
      </w:pPr>
      <w:r>
        <w:rPr>
          <w:rFonts w:ascii="Times New Roman" w:cs="Times New Roman" w:eastAsia="Times New Roman" w:hAnsi="Times New Roman"/>
          <w:b/>
          <w:bCs/>
          <w:sz w:val="24"/>
          <w:szCs w:val="24"/>
        </w:rPr>
        <w:t xml:space="preserve">Artículo 73 — Portal personal de deuda</w:t>
      </w:r>
    </w:p>
    <w:p>
      <w:pPr>
        <w:spacing w:after="140" w:line="360"/>
        <w:jc w:val="both"/>
      </w:pPr>
      <w:r>
        <w:rPr>
          <w:rFonts w:ascii="Times New Roman" w:cs="Times New Roman" w:eastAsia="Times New Roman" w:hAnsi="Times New Roman"/>
          <w:sz w:val="24"/>
          <w:szCs w:val="24"/>
        </w:rPr>
        <w:t xml:space="preserve">Toda persona puede consultar gratuitamente en un único portal sus acreedores, saldos reportados, situación, fecha de actualización y canales de rectificación. El portal no centraliza fondos ni convierte al Estado en deudor, garante o agente de cobro. Debe existir acceso presencial y telefónico equivalente.</w:t>
      </w:r>
    </w:p>
    <w:p>
      <w:pPr>
        <w:keepNext/>
        <w:spacing w:after="80" w:before="220" w:line="360"/>
        <w:jc w:val="left"/>
      </w:pPr>
      <w:r>
        <w:rPr>
          <w:rFonts w:ascii="Times New Roman" w:cs="Times New Roman" w:eastAsia="Times New Roman" w:hAnsi="Times New Roman"/>
          <w:b/>
          <w:bCs/>
          <w:sz w:val="24"/>
          <w:szCs w:val="24"/>
        </w:rPr>
        <w:t xml:space="preserve">Artículo 74 — Asesoramiento independiente</w:t>
      </w:r>
    </w:p>
    <w:p>
      <w:pPr>
        <w:spacing w:after="140" w:line="360"/>
        <w:jc w:val="both"/>
      </w:pPr>
      <w:r>
        <w:rPr>
          <w:rFonts w:ascii="Times New Roman" w:cs="Times New Roman" w:eastAsia="Times New Roman" w:hAnsi="Times New Roman"/>
          <w:sz w:val="24"/>
          <w:szCs w:val="24"/>
        </w:rPr>
        <w:t xml:space="preserve">El Estado garantiza servicios gratuitos de orientación y patrocinio, mediante defensorías, asociaciones de consumidores, universidades y convenios con colegios profesionales. Los proveedores no pueden dirigir, financiar de modo condicionado ni acceder a datos individuales de esos servicios.</w:t>
      </w:r>
    </w:p>
    <w:p>
      <w:pPr>
        <w:keepNext/>
        <w:spacing w:after="80" w:before="220" w:line="360"/>
        <w:jc w:val="left"/>
      </w:pPr>
      <w:r>
        <w:rPr>
          <w:rFonts w:ascii="Times New Roman" w:cs="Times New Roman" w:eastAsia="Times New Roman" w:hAnsi="Times New Roman"/>
          <w:b/>
          <w:bCs/>
          <w:sz w:val="24"/>
          <w:szCs w:val="24"/>
        </w:rPr>
        <w:t xml:space="preserve">Artículo 75 — Observatorio</w:t>
      </w:r>
    </w:p>
    <w:p>
      <w:pPr>
        <w:spacing w:after="140" w:line="360"/>
        <w:jc w:val="both"/>
      </w:pPr>
      <w:r>
        <w:rPr>
          <w:rFonts w:ascii="Times New Roman" w:cs="Times New Roman" w:eastAsia="Times New Roman" w:hAnsi="Times New Roman"/>
          <w:sz w:val="24"/>
          <w:szCs w:val="24"/>
        </w:rPr>
        <w:t xml:space="preserve">Créase el Observatorio Nacional de Endeudamiento de los Hogares, que produce informes trimestrales y una evaluación anual. Debe diferenciar saldo de personas, mora de atrasos tempranos, stock de flujo, correlación de causalidad y bancos de proveedores no financieros. Publica metodología, código, fuentes, revisiones y márgenes de incertidumbre.</w:t>
      </w:r>
    </w:p>
    <w:p>
      <w:pPr>
        <w:keepNext/>
        <w:spacing w:after="80" w:before="220" w:line="360"/>
        <w:jc w:val="left"/>
      </w:pPr>
      <w:r>
        <w:rPr>
          <w:rFonts w:ascii="Times New Roman" w:cs="Times New Roman" w:eastAsia="Times New Roman" w:hAnsi="Times New Roman"/>
          <w:b/>
          <w:bCs/>
          <w:sz w:val="24"/>
          <w:szCs w:val="24"/>
        </w:rPr>
        <w:t xml:space="preserve">Artículo 76 — Financiamiento institucional</w:t>
      </w:r>
    </w:p>
    <w:p>
      <w:pPr>
        <w:spacing w:after="140" w:line="360"/>
        <w:jc w:val="both"/>
      </w:pPr>
      <w:r>
        <w:rPr>
          <w:rFonts w:ascii="Times New Roman" w:cs="Times New Roman" w:eastAsia="Times New Roman" w:hAnsi="Times New Roman"/>
          <w:sz w:val="24"/>
          <w:szCs w:val="24"/>
        </w:rPr>
        <w:t xml:space="preserve">Los costos incrementales del SFSH, asistencia y supervisión se financian con una tasa anual de fiscalización a cargo de los proveedores, proporcional al saldo promedio de crédito de consumo y con alícuota máxima de dos centésimos por ciento (0,02 %). La autoridad publica presupuesto, ejecución y auditoría anual.</w:t>
      </w:r>
    </w:p>
    <w:p>
      <w:pPr>
        <w:spacing w:after="140" w:line="360"/>
        <w:jc w:val="both"/>
      </w:pPr>
      <w:r>
        <w:rPr>
          <w:rFonts w:ascii="Times New Roman" w:cs="Times New Roman" w:eastAsia="Times New Roman" w:hAnsi="Times New Roman"/>
          <w:sz w:val="24"/>
          <w:szCs w:val="24"/>
        </w:rPr>
        <w:t xml:space="preserve">La tasa no integra fondos para adquirir créditos, compensar tasas, garantizar cartera ni cubrir incobrables. Las jurisdicciones adherentes pueden recibir transferencias para atención y patrocinio según población y carga de casos.</w:t>
      </w:r>
    </w:p>
    <w:p>
      <w:pPr>
        <w:keepNext/>
        <w:spacing w:after="80" w:before="220" w:line="360"/>
        <w:jc w:val="left"/>
      </w:pPr>
      <w:r>
        <w:rPr>
          <w:rFonts w:ascii="Times New Roman" w:cs="Times New Roman" w:eastAsia="Times New Roman" w:hAnsi="Times New Roman"/>
          <w:b/>
          <w:bCs/>
          <w:sz w:val="24"/>
          <w:szCs w:val="24"/>
        </w:rPr>
        <w:t xml:space="preserve">Artículo 77 — Prohibición de traslado directo</w:t>
      </w:r>
    </w:p>
    <w:p>
      <w:pPr>
        <w:spacing w:after="140" w:line="360"/>
        <w:jc w:val="both"/>
      </w:pPr>
      <w:r>
        <w:rPr>
          <w:rFonts w:ascii="Times New Roman" w:cs="Times New Roman" w:eastAsia="Times New Roman" w:hAnsi="Times New Roman"/>
          <w:sz w:val="24"/>
          <w:szCs w:val="24"/>
        </w:rPr>
        <w:t xml:space="preserve">La tasa del artículo 76 no puede cobrarse, discriminarse ni trasladarse como comisión o cargo específico a consumidores. Su costo integra la estructura general del proveedor sin superar los límites de esta ley.</w:t>
      </w:r>
    </w:p>
    <w:p>
      <w:pPr>
        <w:keepNext/>
        <w:spacing w:after="80" w:before="220" w:line="360"/>
        <w:jc w:val="left"/>
      </w:pPr>
      <w:r>
        <w:rPr>
          <w:rFonts w:ascii="Times New Roman" w:cs="Times New Roman" w:eastAsia="Times New Roman" w:hAnsi="Times New Roman"/>
          <w:b/>
          <w:bCs/>
          <w:sz w:val="24"/>
          <w:szCs w:val="24"/>
        </w:rPr>
        <w:t xml:space="preserve">Artículo 78 — Infracciones y sanciones</w:t>
      </w:r>
    </w:p>
    <w:p>
      <w:pPr>
        <w:spacing w:after="140" w:line="360"/>
        <w:jc w:val="both"/>
      </w:pPr>
      <w:r>
        <w:rPr>
          <w:rFonts w:ascii="Times New Roman" w:cs="Times New Roman" w:eastAsia="Times New Roman" w:hAnsi="Times New Roman"/>
          <w:sz w:val="24"/>
          <w:szCs w:val="24"/>
        </w:rPr>
        <w:t xml:space="preserve">El incumplimiento se sanciona conforme la Ley 24.240 y los regímenes especiales, considerando gravedad, daño, beneficio, cantidad de personas, vulnerabilidad, reincidencia, ocultamiento y capacidad económica.</w:t>
      </w:r>
    </w:p>
    <w:p>
      <w:pPr>
        <w:spacing w:after="140" w:line="360"/>
        <w:jc w:val="both"/>
      </w:pPr>
      <w:r>
        <w:rPr>
          <w:rFonts w:ascii="Times New Roman" w:cs="Times New Roman" w:eastAsia="Times New Roman" w:hAnsi="Times New Roman"/>
          <w:sz w:val="24"/>
          <w:szCs w:val="24"/>
        </w:rPr>
        <w:t xml:space="preserve">Además pueden ordenarse restitución, cese, rectificación de datos, auditoría independiente, adecuación de modelos, publicación de la sanción y suspensión de originaciones del producto. La sanción administrativa no excluye reparación civil, nulidad ni consecuencias del artículo 20.</w:t>
      </w:r>
    </w:p>
    <w:p>
      <w:pPr>
        <w:keepNext/>
        <w:spacing w:after="160" w:before="300" w:line="360"/>
        <w:jc w:val="center"/>
      </w:pPr>
      <w:r>
        <w:rPr>
          <w:rFonts w:ascii="Times New Roman" w:cs="Times New Roman" w:eastAsia="Times New Roman" w:hAnsi="Times New Roman"/>
          <w:b/>
          <w:bCs/>
          <w:sz w:val="25"/>
          <w:szCs w:val="25"/>
        </w:rPr>
        <w:t xml:space="preserve">TÍTULO VIII — ARMONIZACIÓN Y DISPOSICIONES FINALES</w:t>
      </w:r>
    </w:p>
    <w:p>
      <w:pPr>
        <w:keepNext/>
        <w:spacing w:after="80" w:before="220" w:line="360"/>
        <w:jc w:val="left"/>
      </w:pPr>
      <w:r>
        <w:rPr>
          <w:rFonts w:ascii="Times New Roman" w:cs="Times New Roman" w:eastAsia="Times New Roman" w:hAnsi="Times New Roman"/>
          <w:b/>
          <w:bCs/>
          <w:sz w:val="24"/>
          <w:szCs w:val="24"/>
        </w:rPr>
        <w:t xml:space="preserve">Artículo 79 — Incorporación a la Ley 24.240</w:t>
      </w:r>
    </w:p>
    <w:p>
      <w:pPr>
        <w:spacing w:after="140" w:line="360"/>
        <w:jc w:val="both"/>
      </w:pPr>
      <w:r>
        <w:rPr>
          <w:rFonts w:ascii="Times New Roman" w:cs="Times New Roman" w:eastAsia="Times New Roman" w:hAnsi="Times New Roman"/>
          <w:sz w:val="24"/>
          <w:szCs w:val="24"/>
        </w:rPr>
        <w:t xml:space="preserve">Incorpórase como principio especial del artículo 36 de la Ley 24.240 el deber de evaluar la capacidad real de pago y prevenir el sobreendeudamiento conforme esta ley. Su incumplimiento habilita revisión, nulidad parcial, daños y demás consecuencias aquí previstas.</w:t>
      </w:r>
    </w:p>
    <w:p>
      <w:pPr>
        <w:keepNext/>
        <w:spacing w:after="80" w:before="220" w:line="360"/>
        <w:jc w:val="left"/>
      </w:pPr>
      <w:r>
        <w:rPr>
          <w:rFonts w:ascii="Times New Roman" w:cs="Times New Roman" w:eastAsia="Times New Roman" w:hAnsi="Times New Roman"/>
          <w:b/>
          <w:bCs/>
          <w:sz w:val="24"/>
          <w:szCs w:val="24"/>
        </w:rPr>
        <w:t xml:space="preserve">Artículo 80 — Ley 25.065</w:t>
      </w:r>
    </w:p>
    <w:p>
      <w:pPr>
        <w:spacing w:after="140" w:line="360"/>
        <w:jc w:val="both"/>
      </w:pPr>
      <w:r>
        <w:rPr>
          <w:rFonts w:ascii="Times New Roman" w:cs="Times New Roman" w:eastAsia="Times New Roman" w:hAnsi="Times New Roman"/>
          <w:sz w:val="24"/>
          <w:szCs w:val="24"/>
        </w:rPr>
        <w:t xml:space="preserve">Las reglas de los artículos 15, 18, 19, 22 a 28 y 62 a 65 son complementarias y prevalecen en lo más favorable respecto de tarjetas de crédito. El Poder Ejecutivo debe remitir dentro de noventa (90) días un texto ordenado de la Ley 25.065 que identifique las modificaciones y derogaciones producidas desde 2023, sin alterar el contenido legislado.</w:t>
      </w:r>
    </w:p>
    <w:p>
      <w:pPr>
        <w:keepNext/>
        <w:spacing w:after="80" w:before="220" w:line="360"/>
        <w:jc w:val="left"/>
      </w:pPr>
      <w:r>
        <w:rPr>
          <w:rFonts w:ascii="Times New Roman" w:cs="Times New Roman" w:eastAsia="Times New Roman" w:hAnsi="Times New Roman"/>
          <w:b/>
          <w:bCs/>
          <w:sz w:val="24"/>
          <w:szCs w:val="24"/>
        </w:rPr>
        <w:t xml:space="preserve">Artículo 81 — Protección de datos</w:t>
      </w:r>
    </w:p>
    <w:p>
      <w:pPr>
        <w:spacing w:after="140" w:line="360"/>
        <w:jc w:val="both"/>
      </w:pPr>
      <w:r>
        <w:rPr>
          <w:rFonts w:ascii="Times New Roman" w:cs="Times New Roman" w:eastAsia="Times New Roman" w:hAnsi="Times New Roman"/>
          <w:sz w:val="24"/>
          <w:szCs w:val="24"/>
        </w:rPr>
        <w:t xml:space="preserve">El tratamiento de datos se rige por necesidad, finalidad, minimización, exactitud, seguridad, confidencialidad y plazo limitado. El consentimiento para consultar fuentes no indispensables es revocable. Los derechos de acceso, explicación, rectificación y supresión son gratuitos.</w:t>
      </w:r>
    </w:p>
    <w:p>
      <w:pPr>
        <w:keepNext/>
        <w:spacing w:after="80" w:before="220" w:line="360"/>
        <w:jc w:val="left"/>
      </w:pPr>
      <w:r>
        <w:rPr>
          <w:rFonts w:ascii="Times New Roman" w:cs="Times New Roman" w:eastAsia="Times New Roman" w:hAnsi="Times New Roman"/>
          <w:b/>
          <w:bCs/>
          <w:sz w:val="24"/>
          <w:szCs w:val="24"/>
        </w:rPr>
        <w:t xml:space="preserve">Artículo 82 — Adhesión local</w:t>
      </w:r>
    </w:p>
    <w:p>
      <w:pPr>
        <w:spacing w:after="140" w:line="360"/>
        <w:jc w:val="both"/>
      </w:pPr>
      <w:r>
        <w:rPr>
          <w:rFonts w:ascii="Times New Roman" w:cs="Times New Roman" w:eastAsia="Times New Roman" w:hAnsi="Times New Roman"/>
          <w:sz w:val="24"/>
          <w:szCs w:val="24"/>
        </w:rPr>
        <w:t xml:space="preserve">Invítase a las provincias y a la Ciudad Autónoma de Buenos Aires a adherir al SFSH, asegurar gratuidad y procedimiento abreviado, designar oficinas, garantizar patrocinio y adecuar normas procesales sin alterar el derecho común ni las jurisdicciones locales.</w:t>
      </w:r>
    </w:p>
    <w:p>
      <w:pPr>
        <w:keepNext/>
        <w:spacing w:after="80" w:before="220" w:line="360"/>
        <w:jc w:val="left"/>
      </w:pPr>
      <w:r>
        <w:rPr>
          <w:rFonts w:ascii="Times New Roman" w:cs="Times New Roman" w:eastAsia="Times New Roman" w:hAnsi="Times New Roman"/>
          <w:b/>
          <w:bCs/>
          <w:sz w:val="24"/>
          <w:szCs w:val="24"/>
        </w:rPr>
        <w:t xml:space="preserve">Artículo 83 — Implementación</w:t>
      </w:r>
    </w:p>
    <w:p>
      <w:pPr>
        <w:spacing w:after="140" w:line="360"/>
        <w:jc w:val="both"/>
      </w:pPr>
      <w:r>
        <w:rPr>
          <w:rFonts w:ascii="Times New Roman" w:cs="Times New Roman" w:eastAsia="Times New Roman" w:hAnsi="Times New Roman"/>
          <w:sz w:val="24"/>
          <w:szCs w:val="24"/>
        </w:rPr>
        <w:t xml:space="preserve">La implementación se realiza según el siguiente cronograma máximo:</w:t>
      </w:r>
    </w:p>
    <w:p>
      <w:pPr>
        <w:spacing w:after="120" w:line="360"/>
        <w:ind w:left="709" w:hanging="340"/>
        <w:jc w:val="both"/>
      </w:pPr>
      <w:r>
        <w:rPr>
          <w:rFonts w:ascii="Times New Roman" w:cs="Times New Roman" w:eastAsia="Times New Roman" w:hAnsi="Times New Roman"/>
          <w:sz w:val="24"/>
          <w:szCs w:val="24"/>
        </w:rPr>
        <w:t xml:space="preserve">a) plan transitorio y reglas de cobranza: sesenta (60) días;</w:t>
      </w:r>
    </w:p>
    <w:p>
      <w:pPr>
        <w:spacing w:after="120" w:line="360"/>
        <w:ind w:left="709" w:hanging="340"/>
        <w:jc w:val="both"/>
      </w:pPr>
      <w:r>
        <w:rPr>
          <w:rFonts w:ascii="Times New Roman" w:cs="Times New Roman" w:eastAsia="Times New Roman" w:hAnsi="Times New Roman"/>
          <w:sz w:val="24"/>
          <w:szCs w:val="24"/>
        </w:rPr>
        <w:t xml:space="preserve">b) SFSH y asesoramiento: ciento veinte (120) días;</w:t>
      </w:r>
    </w:p>
    <w:p>
      <w:pPr>
        <w:spacing w:after="120" w:line="360"/>
        <w:ind w:left="709" w:hanging="340"/>
        <w:jc w:val="both"/>
      </w:pPr>
      <w:r>
        <w:rPr>
          <w:rFonts w:ascii="Times New Roman" w:cs="Times New Roman" w:eastAsia="Times New Roman" w:hAnsi="Times New Roman"/>
          <w:sz w:val="24"/>
          <w:szCs w:val="24"/>
        </w:rPr>
        <w:t xml:space="preserve">c) TRCC y ficha uniforme: ciento ochenta (180) días;</w:t>
      </w:r>
    </w:p>
    <w:p>
      <w:pPr>
        <w:spacing w:after="120" w:line="360"/>
        <w:ind w:left="709" w:hanging="340"/>
        <w:jc w:val="both"/>
      </w:pPr>
      <w:r>
        <w:rPr>
          <w:rFonts w:ascii="Times New Roman" w:cs="Times New Roman" w:eastAsia="Times New Roman" w:hAnsi="Times New Roman"/>
          <w:sz w:val="24"/>
          <w:szCs w:val="24"/>
        </w:rPr>
        <w:t xml:space="preserve">d) portal personal y tablero completo: doscientos setenta (270) días; y</w:t>
      </w:r>
    </w:p>
    <w:p>
      <w:pPr>
        <w:spacing w:after="120" w:line="360"/>
        <w:ind w:left="709" w:hanging="340"/>
        <w:jc w:val="both"/>
      </w:pPr>
      <w:r>
        <w:rPr>
          <w:rFonts w:ascii="Times New Roman" w:cs="Times New Roman" w:eastAsia="Times New Roman" w:hAnsi="Times New Roman"/>
          <w:sz w:val="24"/>
          <w:szCs w:val="24"/>
        </w:rPr>
        <w:t xml:space="preserve">e) procedimiento judicial: vigencia inmediata de sus derechos sustanciales y adecuación procesal local dentro de ciento ochenta (180) días.</w:t>
      </w:r>
    </w:p>
    <w:p>
      <w:pPr>
        <w:spacing w:after="140" w:line="360"/>
        <w:jc w:val="both"/>
      </w:pPr>
      <w:r>
        <w:rPr>
          <w:rFonts w:ascii="Times New Roman" w:cs="Times New Roman" w:eastAsia="Times New Roman" w:hAnsi="Times New Roman"/>
          <w:sz w:val="24"/>
          <w:szCs w:val="24"/>
        </w:rPr>
        <w:t xml:space="preserve">La falta de reglamentación no suspende derechos con contenido suficientemente determinado.</w:t>
      </w:r>
    </w:p>
    <w:p>
      <w:pPr>
        <w:keepNext/>
        <w:spacing w:after="80" w:before="220" w:line="360"/>
        <w:jc w:val="left"/>
      </w:pPr>
      <w:r>
        <w:rPr>
          <w:rFonts w:ascii="Times New Roman" w:cs="Times New Roman" w:eastAsia="Times New Roman" w:hAnsi="Times New Roman"/>
          <w:b/>
          <w:bCs/>
          <w:sz w:val="24"/>
          <w:szCs w:val="24"/>
        </w:rPr>
        <w:t xml:space="preserve">Artículo 84 — Contratos en curso</w:t>
      </w:r>
    </w:p>
    <w:p>
      <w:pPr>
        <w:spacing w:after="140" w:line="360"/>
        <w:jc w:val="both"/>
      </w:pPr>
      <w:r>
        <w:rPr>
          <w:rFonts w:ascii="Times New Roman" w:cs="Times New Roman" w:eastAsia="Times New Roman" w:hAnsi="Times New Roman"/>
          <w:sz w:val="24"/>
          <w:szCs w:val="24"/>
        </w:rPr>
        <w:t xml:space="preserve">Las reglas de información, cobranza, reporte, procedimiento y efectos futuros de la mora se aplican a relaciones en curso desde la vigencia. La validez de actos consumados se rige por la ley vigente al tiempo de su celebración, salvo nulidad, orden público preexistente o norma transitoria expresa.</w:t>
      </w:r>
    </w:p>
    <w:p>
      <w:pPr>
        <w:keepNext/>
        <w:spacing w:after="80" w:before="220" w:line="360"/>
        <w:jc w:val="left"/>
      </w:pPr>
      <w:r>
        <w:rPr>
          <w:rFonts w:ascii="Times New Roman" w:cs="Times New Roman" w:eastAsia="Times New Roman" w:hAnsi="Times New Roman"/>
          <w:b/>
          <w:bCs/>
          <w:sz w:val="24"/>
          <w:szCs w:val="24"/>
        </w:rPr>
        <w:t xml:space="preserve">Artículo 85 — Reglamentación y vigencia</w:t>
      </w:r>
    </w:p>
    <w:p>
      <w:pPr>
        <w:spacing w:after="140" w:line="360"/>
        <w:jc w:val="both"/>
      </w:pPr>
      <w:r>
        <w:rPr>
          <w:rFonts w:ascii="Times New Roman" w:cs="Times New Roman" w:eastAsia="Times New Roman" w:hAnsi="Times New Roman"/>
          <w:sz w:val="24"/>
          <w:szCs w:val="24"/>
        </w:rPr>
        <w:t xml:space="preserve">El Poder Ejecutivo reglamentará la presente ley dentro de ciento veinte (120) días. La ley entra en vigencia a los treinta (30) días de su publicación, sin perjuicio del cronograma del artículo 83.</w:t>
      </w:r>
    </w:p>
    <w:p>
      <w:pPr>
        <w:keepNext/>
        <w:spacing w:after="80" w:before="220" w:line="360"/>
        <w:jc w:val="left"/>
      </w:pPr>
      <w:r>
        <w:rPr>
          <w:rFonts w:ascii="Times New Roman" w:cs="Times New Roman" w:eastAsia="Times New Roman" w:hAnsi="Times New Roman"/>
          <w:b/>
          <w:bCs/>
          <w:sz w:val="24"/>
          <w:szCs w:val="24"/>
        </w:rPr>
        <w:t xml:space="preserve">Artículo 86 — Comuníquese</w:t>
      </w:r>
    </w:p>
    <w:p>
      <w:pPr>
        <w:spacing w:after="140" w:line="360"/>
        <w:jc w:val="both"/>
      </w:pPr>
      <w:r>
        <w:rPr>
          <w:rFonts w:ascii="Times New Roman" w:cs="Times New Roman" w:eastAsia="Times New Roman" w:hAnsi="Times New Roman"/>
          <w:sz w:val="24"/>
          <w:szCs w:val="24"/>
        </w:rPr>
        <w:t xml:space="preserve">Comuníquese al Poder Ejecutivo Nacional.</w:t>
      </w:r>
    </w:p>
    <w:p>
      <w:pPr>
        <w:keepNext/>
        <w:spacing w:after="160" w:before="300" w:line="360"/>
        <w:jc w:val="center"/>
      </w:pPr>
      <w:r>
        <w:rPr>
          <w:rFonts w:ascii="Times New Roman" w:cs="Times New Roman" w:eastAsia="Times New Roman" w:hAnsi="Times New Roman"/>
          <w:b/>
          <w:bCs/>
          <w:sz w:val="25"/>
          <w:szCs w:val="25"/>
        </w:rPr>
        <w:t xml:space="preserve">ANEXO I — CÁLCULO DE CAPACIDAD DE PAGO Y MÍNIMO VITAL</w:t>
      </w:r>
    </w:p>
    <w:p>
      <w:pPr>
        <w:keepNext/>
        <w:spacing w:after="160" w:before="300" w:line="360"/>
        <w:jc w:val="left"/>
      </w:pPr>
      <w:r>
        <w:rPr>
          <w:rFonts w:ascii="Times New Roman" w:cs="Times New Roman" w:eastAsia="Times New Roman" w:hAnsi="Times New Roman"/>
          <w:b/>
          <w:bCs/>
          <w:sz w:val="24"/>
          <w:szCs w:val="24"/>
        </w:rPr>
        <w:t xml:space="preserve">1. Ingreso neto computable del hogar</w:t>
      </w:r>
    </w:p>
    <w:p>
      <w:pPr>
        <w:spacing w:after="160" w:before="80" w:line="300"/>
        <w:jc w:val="center"/>
      </w:pPr>
      <w:r>
        <w:rPr>
          <w:rFonts w:ascii="Consolas" w:cs="Consolas" w:eastAsia="Consolas" w:hAnsi="Consolas"/>
          <w:sz w:val="22"/>
          <w:szCs w:val="22"/>
        </w:rPr>
        <w:t xml:space="preserve">INCH = ingresos regulares netos consentidos – ingresos excluidos</w:t>
      </w:r>
    </w:p>
    <w:p>
      <w:pPr>
        <w:spacing w:after="140" w:line="360"/>
        <w:jc w:val="both"/>
      </w:pPr>
      <w:r>
        <w:rPr>
          <w:rFonts w:ascii="Times New Roman" w:cs="Times New Roman" w:eastAsia="Times New Roman" w:hAnsi="Times New Roman"/>
          <w:sz w:val="24"/>
          <w:szCs w:val="24"/>
        </w:rPr>
        <w:t xml:space="preserve">Se usa el promedio conservador de seis (6) meses. Si existe fuerte estacionalidad, se usa un período representativo de hasta doce (12) meses. Se excluyen indemnizaciones, ingresos extraordinarios y prestaciones con destino específico a niñez, discapacidad, salud, vivienda o cuidado.</w:t>
      </w:r>
    </w:p>
    <w:p>
      <w:pPr>
        <w:keepNext/>
        <w:spacing w:after="160" w:before="300" w:line="360"/>
        <w:jc w:val="left"/>
      </w:pPr>
      <w:r>
        <w:rPr>
          <w:rFonts w:ascii="Times New Roman" w:cs="Times New Roman" w:eastAsia="Times New Roman" w:hAnsi="Times New Roman"/>
          <w:b/>
          <w:bCs/>
          <w:sz w:val="24"/>
          <w:szCs w:val="24"/>
        </w:rPr>
        <w:t xml:space="preserve">2. Mínimo vital del hogar</w:t>
      </w:r>
    </w:p>
    <w:p>
      <w:pPr>
        <w:spacing w:after="160" w:before="80" w:line="300"/>
        <w:jc w:val="center"/>
      </w:pPr>
      <w:r>
        <w:rPr>
          <w:rFonts w:ascii="Consolas" w:cs="Consolas" w:eastAsia="Consolas" w:hAnsi="Consolas"/>
          <w:sz w:val="22"/>
          <w:szCs w:val="22"/>
        </w:rPr>
        <w:t xml:space="preserve">MVH = CBT_H + AV + AS + AC</w:t>
      </w:r>
    </w:p>
    <w:p>
      <w:pPr>
        <w:spacing w:after="140" w:line="360"/>
        <w:jc w:val="both"/>
      </w:pPr>
      <w:r>
        <w:rPr>
          <w:rFonts w:ascii="Times New Roman" w:cs="Times New Roman" w:eastAsia="Times New Roman" w:hAnsi="Times New Roman"/>
          <w:sz w:val="24"/>
          <w:szCs w:val="24"/>
        </w:rPr>
        <w:t xml:space="preserve">Donde:</w:t>
      </w:r>
    </w:p>
    <w:p>
      <w:pPr>
        <w:spacing w:after="120" w:line="360"/>
        <w:ind w:left="709" w:hanging="340"/>
        <w:jc w:val="both"/>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CBT_H</w:t>
      </w:r>
      <w:r>
        <w:rPr>
          <w:rFonts w:ascii="Times New Roman" w:cs="Times New Roman" w:eastAsia="Times New Roman" w:hAnsi="Times New Roman"/>
          <w:sz w:val="24"/>
          <w:szCs w:val="24"/>
        </w:rPr>
        <w:t xml:space="preserve"> es la Canasta Básica Total oficial correspondiente a la composición del hogar por adulto equivalente;</w:t>
      </w:r>
    </w:p>
    <w:p>
      <w:pPr>
        <w:spacing w:after="120" w:line="360"/>
        <w:ind w:left="709" w:hanging="340"/>
        <w:jc w:val="both"/>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AV</w:t>
      </w:r>
      <w:r>
        <w:rPr>
          <w:rFonts w:ascii="Times New Roman" w:cs="Times New Roman" w:eastAsia="Times New Roman" w:hAnsi="Times New Roman"/>
          <w:sz w:val="24"/>
          <w:szCs w:val="24"/>
        </w:rPr>
        <w:t xml:space="preserve"> son gastos documentados indispensables de vivienda y servicios que excedan razonablemente el componente implícito en la CBT, bajo topes regionales públicos;</w:t>
      </w:r>
    </w:p>
    <w:p>
      <w:pPr>
        <w:spacing w:after="120" w:line="360"/>
        <w:ind w:left="709" w:hanging="340"/>
        <w:jc w:val="both"/>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AS</w:t>
      </w:r>
      <w:r>
        <w:rPr>
          <w:rFonts w:ascii="Times New Roman" w:cs="Times New Roman" w:eastAsia="Times New Roman" w:hAnsi="Times New Roman"/>
          <w:sz w:val="24"/>
          <w:szCs w:val="24"/>
        </w:rPr>
        <w:t xml:space="preserve"> son gastos indispensables y no cubiertos de salud, discapacidad y medicación; y</w:t>
      </w:r>
    </w:p>
    <w:p>
      <w:pPr>
        <w:spacing w:after="120" w:line="360"/>
        <w:ind w:left="709" w:hanging="340"/>
        <w:jc w:val="both"/>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AC</w:t>
      </w:r>
      <w:r>
        <w:rPr>
          <w:rFonts w:ascii="Times New Roman" w:cs="Times New Roman" w:eastAsia="Times New Roman" w:hAnsi="Times New Roman"/>
          <w:sz w:val="24"/>
          <w:szCs w:val="24"/>
        </w:rPr>
        <w:t xml:space="preserve"> son gastos indispensables de cuidado, educación, conectividad, transporte y trabajo no adecuadamente captados por la CBT.</w:t>
      </w:r>
    </w:p>
    <w:p>
      <w:pPr>
        <w:spacing w:after="140" w:line="360"/>
        <w:jc w:val="both"/>
      </w:pPr>
      <w:r>
        <w:rPr>
          <w:rFonts w:ascii="Times New Roman" w:cs="Times New Roman" w:eastAsia="Times New Roman" w:hAnsi="Times New Roman"/>
          <w:sz w:val="24"/>
          <w:szCs w:val="24"/>
        </w:rPr>
        <w:t xml:space="preserve">No puede computarse dos veces un mismo gasto. Los topes son presunciones administrativas revisables, no límites contra prueba concreta. Si el INDEC reemplaza la CBT, se usa el indicador oficial de necesidades esenciales más adecuado sin reducir protección real.</w:t>
      </w:r>
    </w:p>
    <w:p>
      <w:pPr>
        <w:keepNext/>
        <w:spacing w:after="160" w:before="300" w:line="360"/>
        <w:jc w:val="left"/>
      </w:pPr>
      <w:r>
        <w:rPr>
          <w:rFonts w:ascii="Times New Roman" w:cs="Times New Roman" w:eastAsia="Times New Roman" w:hAnsi="Times New Roman"/>
          <w:b/>
          <w:bCs/>
          <w:sz w:val="24"/>
          <w:szCs w:val="24"/>
        </w:rPr>
        <w:t xml:space="preserve">3. Excedente disponible</w:t>
      </w:r>
    </w:p>
    <w:p>
      <w:pPr>
        <w:spacing w:after="160" w:before="80" w:line="300"/>
        <w:jc w:val="center"/>
      </w:pPr>
      <w:r>
        <w:rPr>
          <w:rFonts w:ascii="Consolas" w:cs="Consolas" w:eastAsia="Consolas" w:hAnsi="Consolas"/>
          <w:sz w:val="22"/>
          <w:szCs w:val="22"/>
        </w:rPr>
        <w:t xml:space="preserve">ED = máximo (0; INCH – MVH)</w:t>
      </w:r>
    </w:p>
    <w:p>
      <w:pPr>
        <w:keepNext/>
        <w:spacing w:after="160" w:before="300" w:line="360"/>
        <w:jc w:val="left"/>
      </w:pPr>
      <w:r>
        <w:rPr>
          <w:rFonts w:ascii="Times New Roman" w:cs="Times New Roman" w:eastAsia="Times New Roman" w:hAnsi="Times New Roman"/>
          <w:b/>
          <w:bCs/>
          <w:sz w:val="24"/>
          <w:szCs w:val="24"/>
        </w:rPr>
        <w:t xml:space="preserve">4. Capacidad mensual de pago para planes</w:t>
      </w:r>
    </w:p>
    <w:p>
      <w:pPr>
        <w:spacing w:after="140" w:line="360"/>
        <w:jc w:val="both"/>
      </w:pPr>
      <w:r>
        <w:rPr>
          <w:rFonts w:ascii="Times New Roman" w:cs="Times New Roman" w:eastAsia="Times New Roman" w:hAnsi="Times New Roman"/>
          <w:sz w:val="24"/>
          <w:szCs w:val="24"/>
        </w:rPr>
        <w:t xml:space="preserve">Régimen general:</w:t>
      </w:r>
    </w:p>
    <w:p>
      <w:pPr>
        <w:spacing w:after="160" w:before="80" w:line="300"/>
        <w:jc w:val="center"/>
      </w:pPr>
      <w:r>
        <w:rPr>
          <w:rFonts w:ascii="Consolas" w:cs="Consolas" w:eastAsia="Consolas" w:hAnsi="Consolas"/>
          <w:sz w:val="22"/>
          <w:szCs w:val="22"/>
        </w:rPr>
        <w:t xml:space="preserve">CMP = mínimo (20 % × INCH; 70 % × ED)</w:t>
      </w:r>
    </w:p>
    <w:p>
      <w:pPr>
        <w:spacing w:after="140" w:line="360"/>
        <w:jc w:val="both"/>
      </w:pPr>
      <w:r>
        <w:rPr>
          <w:rFonts w:ascii="Times New Roman" w:cs="Times New Roman" w:eastAsia="Times New Roman" w:hAnsi="Times New Roman"/>
          <w:sz w:val="24"/>
          <w:szCs w:val="24"/>
        </w:rPr>
        <w:t xml:space="preserve">Persona vulnerable:</w:t>
      </w:r>
    </w:p>
    <w:p>
      <w:pPr>
        <w:spacing w:after="160" w:before="80" w:line="300"/>
        <w:jc w:val="center"/>
      </w:pPr>
      <w:r>
        <w:rPr>
          <w:rFonts w:ascii="Consolas" w:cs="Consolas" w:eastAsia="Consolas" w:hAnsi="Consolas"/>
          <w:sz w:val="22"/>
          <w:szCs w:val="22"/>
        </w:rPr>
        <w:t xml:space="preserve">CMP_v = mínimo (15 % × INCH; 60 % × ED)</w:t>
      </w:r>
    </w:p>
    <w:p>
      <w:pPr>
        <w:spacing w:after="140" w:line="360"/>
        <w:jc w:val="both"/>
      </w:pPr>
      <w:r>
        <w:rPr>
          <w:rFonts w:ascii="Times New Roman" w:cs="Times New Roman" w:eastAsia="Times New Roman" w:hAnsi="Times New Roman"/>
          <w:sz w:val="24"/>
          <w:szCs w:val="24"/>
        </w:rPr>
        <w:t xml:space="preserve">Si el resultado es cero, no corresponde imponer cuota. Debe evaluarse espera, procedimiento sin activos o exoneración.</w:t>
      </w:r>
    </w:p>
    <w:p>
      <w:pPr>
        <w:keepNext/>
        <w:spacing w:after="160" w:before="300" w:line="360"/>
        <w:jc w:val="left"/>
      </w:pPr>
      <w:r>
        <w:rPr>
          <w:rFonts w:ascii="Times New Roman" w:cs="Times New Roman" w:eastAsia="Times New Roman" w:hAnsi="Times New Roman"/>
          <w:b/>
          <w:bCs/>
          <w:sz w:val="24"/>
          <w:szCs w:val="24"/>
        </w:rPr>
        <w:t xml:space="preserve">5. Capacidad al originar un nuevo crédito</w:t>
      </w:r>
    </w:p>
    <w:p>
      <w:pPr>
        <w:spacing w:after="140" w:line="360"/>
        <w:jc w:val="both"/>
      </w:pPr>
      <w:r>
        <w:rPr>
          <w:rFonts w:ascii="Times New Roman" w:cs="Times New Roman" w:eastAsia="Times New Roman" w:hAnsi="Times New Roman"/>
          <w:sz w:val="24"/>
          <w:szCs w:val="24"/>
        </w:rPr>
        <w:t xml:space="preserve">Deuda de consumo:</w:t>
      </w:r>
    </w:p>
    <w:p>
      <w:pPr>
        <w:spacing w:after="160" w:before="80" w:line="300"/>
        <w:jc w:val="center"/>
      </w:pPr>
      <w:r>
        <w:rPr>
          <w:rFonts w:ascii="Consolas" w:cs="Consolas" w:eastAsia="Consolas" w:hAnsi="Consolas"/>
          <w:sz w:val="22"/>
          <w:szCs w:val="22"/>
        </w:rPr>
        <w:t xml:space="preserve">Servicio máximo consumo = mínimo (25 % × INCH; 60 % × ED)</w:t>
      </w:r>
    </w:p>
    <w:p>
      <w:pPr>
        <w:spacing w:after="140" w:line="360"/>
        <w:jc w:val="both"/>
      </w:pPr>
      <w:r>
        <w:rPr>
          <w:rFonts w:ascii="Times New Roman" w:cs="Times New Roman" w:eastAsia="Times New Roman" w:hAnsi="Times New Roman"/>
          <w:sz w:val="24"/>
          <w:szCs w:val="24"/>
        </w:rPr>
        <w:t xml:space="preserve">Total de deudas:</w:t>
      </w:r>
    </w:p>
    <w:p>
      <w:pPr>
        <w:spacing w:after="160" w:before="80" w:line="300"/>
        <w:jc w:val="center"/>
      </w:pPr>
      <w:r>
        <w:rPr>
          <w:rFonts w:ascii="Consolas" w:cs="Consolas" w:eastAsia="Consolas" w:hAnsi="Consolas"/>
          <w:sz w:val="22"/>
          <w:szCs w:val="22"/>
        </w:rPr>
        <w:t xml:space="preserve">Servicio máximo total = mínimo (35 % × INCH; ED)</w:t>
      </w:r>
    </w:p>
    <w:p>
      <w:pPr>
        <w:spacing w:after="140" w:line="360"/>
        <w:jc w:val="both"/>
      </w:pPr>
      <w:r>
        <w:rPr>
          <w:rFonts w:ascii="Times New Roman" w:cs="Times New Roman" w:eastAsia="Times New Roman" w:hAnsi="Times New Roman"/>
          <w:sz w:val="24"/>
          <w:szCs w:val="24"/>
        </w:rPr>
        <w:t xml:space="preserve">La evaluación se realiza después de incorporar la nueva cuota y bajo el escenario de tensión aplicable.</w:t>
      </w:r>
    </w:p>
    <w:p>
      <w:pPr>
        <w:keepNext/>
        <w:spacing w:after="160" w:before="300" w:line="360"/>
        <w:jc w:val="left"/>
      </w:pPr>
      <w:r>
        <w:rPr>
          <w:rFonts w:ascii="Times New Roman" w:cs="Times New Roman" w:eastAsia="Times New Roman" w:hAnsi="Times New Roman"/>
          <w:b/>
          <w:bCs/>
          <w:sz w:val="24"/>
          <w:szCs w:val="24"/>
        </w:rPr>
        <w:t xml:space="preserve">6. Revisión</w:t>
      </w:r>
    </w:p>
    <w:p>
      <w:pPr>
        <w:spacing w:after="140" w:line="360"/>
        <w:jc w:val="both"/>
      </w:pPr>
      <w:r>
        <w:rPr>
          <w:rFonts w:ascii="Times New Roman" w:cs="Times New Roman" w:eastAsia="Times New Roman" w:hAnsi="Times New Roman"/>
          <w:sz w:val="24"/>
          <w:szCs w:val="24"/>
        </w:rPr>
        <w:t xml:space="preserve">La autoridad actualiza parámetros trimestralmente, publica bases, ejemplos y simulador, y realiza revisión integral anual. Toda reducción real del MVH o aumento de los porcentajes requiere ley formal.</w:t>
      </w:r>
    </w:p>
    <w:p>
      <w:pPr>
        <w:spacing w:after="0" w:before="360"/>
      </w:pPr>
      <w:r>
        <w:rPr>
          <w:rFonts w:ascii="Times New Roman" w:cs="Times New Roman" w:eastAsia="Times New Roman" w:hAnsi="Times New Roman"/>
        </w:rPr>
        <w:t xml:space="preserve"/>
      </w:r>
    </w:p>
    <w:p>
      <w:pPr>
        <w:spacing w:after="0" w:line="360"/>
        <w:jc w:val="center"/>
      </w:pPr>
      <w:r>
        <w:rPr>
          <w:rFonts w:ascii="Times New Roman" w:cs="Times New Roman" w:eastAsia="Times New Roman" w:hAnsi="Times New Roman"/>
          <w:sz w:val="24"/>
          <w:szCs w:val="24"/>
        </w:rPr>
        <w:t xml:space="preserve">_______________________________</w:t>
      </w:r>
    </w:p>
    <w:p>
      <w:pPr>
        <w:spacing w:after="0" w:line="300"/>
        <w:jc w:val="center"/>
      </w:pPr>
      <w:r>
        <w:rPr>
          <w:rFonts w:ascii="Times New Roman" w:cs="Times New Roman" w:eastAsia="Times New Roman" w:hAnsi="Times New Roman"/>
          <w:b/>
          <w:bCs/>
          <w:sz w:val="24"/>
          <w:szCs w:val="24"/>
        </w:rPr>
        <w:t xml:space="preserve">[Nombre y Apellido]</w:t>
      </w:r>
    </w:p>
    <w:p>
      <w:pPr>
        <w:spacing w:after="0" w:line="300"/>
        <w:jc w:val="center"/>
      </w:pPr>
      <w:r>
        <w:rPr>
          <w:rFonts w:ascii="Times New Roman" w:cs="Times New Roman" w:eastAsia="Times New Roman" w:hAnsi="Times New Roman"/>
          <w:sz w:val="24"/>
          <w:szCs w:val="24"/>
        </w:rPr>
        <w:t xml:space="preserve">Diputado/a de la Nación</w:t>
      </w:r>
    </w:p>
    <w:p>
      <w:pPr>
        <w:spacing w:after="120" w:line="300"/>
        <w:jc w:val="center"/>
      </w:pPr>
      <w:r>
        <w:rPr>
          <w:rFonts w:ascii="Times New Roman" w:cs="Times New Roman" w:eastAsia="Times New Roman" w:hAnsi="Times New Roman"/>
          <w:i/>
          <w:iCs/>
          <w:color w:val="555555"/>
          <w:sz w:val="22"/>
          <w:szCs w:val="22"/>
        </w:rPr>
        <w:t xml:space="preserve">[Bloque parlamentario]</w:t>
      </w:r>
    </w:p>
    <w:p>
      <w:pPr>
        <w:spacing w:after="0" w:line="300"/>
        <w:jc w:val="center"/>
      </w:pPr>
      <w:r>
        <w:rPr>
          <w:rFonts w:ascii="Times New Roman" w:cs="Times New Roman" w:eastAsia="Times New Roman" w:hAnsi="Times New Roman"/>
          <w:color w:val="555555"/>
          <w:sz w:val="22"/>
          <w:szCs w:val="22"/>
        </w:rPr>
        <w:t xml:space="preserve">Cofirmantes: __________________________________________</w:t>
      </w:r>
    </w:p>
    <w:p>
      <w:pPr>
        <w:pageBreakBefore/>
        <w:spacing w:after="160"/>
        <w:jc w:val="center"/>
      </w:pPr>
      <w:r>
        <w:rPr>
          <w:rFonts w:ascii="Times New Roman" w:cs="Times New Roman" w:eastAsia="Times New Roman" w:hAnsi="Times New Roman"/>
          <w:b/>
          <w:bCs/>
          <w:sz w:val="28"/>
          <w:szCs w:val="28"/>
        </w:rPr>
        <w:t xml:space="preserve">FUNDAMENTOS</w:t>
      </w:r>
    </w:p>
    <w:p>
      <w:pPr>
        <w:spacing w:after="140" w:line="360"/>
        <w:jc w:val="both"/>
      </w:pPr>
      <w:r>
        <w:rPr>
          <w:rFonts w:ascii="Times New Roman" w:cs="Times New Roman" w:eastAsia="Times New Roman" w:hAnsi="Times New Roman"/>
          <w:sz w:val="24"/>
          <w:szCs w:val="24"/>
        </w:rPr>
        <w:t xml:space="preserve">Señor/a Presidente/a:</w:t>
      </w:r>
    </w:p>
    <w:p>
      <w:pPr>
        <w:spacing w:after="140" w:line="360"/>
        <w:jc w:val="both"/>
      </w:pPr>
      <w:r>
        <w:rPr>
          <w:rFonts w:ascii="Times New Roman" w:cs="Times New Roman" w:eastAsia="Times New Roman" w:hAnsi="Times New Roman"/>
          <w:sz w:val="24"/>
          <w:szCs w:val="24"/>
        </w:rPr>
        <w:t xml:space="preserve">El crédito cumple una función económica y social legítima cuando permite trasladar consumo e inversión en el tiempo sin destruir la capacidad futura de quien lo toma. Deja de cumplirla cuando la cuota sólo puede pagarse sacrificando alimentación, vivienda, salud, cuidado o recurriendo a otra deuda. En ese punto, el problema ya no es un incumplimiento aislado: es una falla de diseño que deteriora simultáneamente la dignidad, la recuperación del acreedor, la demanda agregada y la confianza en el sistema.</w:t>
      </w:r>
    </w:p>
    <w:p>
      <w:pPr>
        <w:spacing w:after="140" w:line="360"/>
        <w:jc w:val="both"/>
      </w:pPr>
      <w:r>
        <w:rPr>
          <w:rFonts w:ascii="Times New Roman" w:cs="Times New Roman" w:eastAsia="Times New Roman" w:hAnsi="Times New Roman"/>
          <w:sz w:val="24"/>
          <w:szCs w:val="24"/>
        </w:rPr>
        <w:t xml:space="preserve">El presente proyecto propone una respuesta integral: prevenir el préstamo inasequible, reestructurar tempranamente todo el pasivo del hogar, atribuir consecuencias según la conducta de cada parte y permitir una segunda oportunidad a la persona de buena fe. No crea un perdón indiscriminado ni un rescate estatal de balances privados.</w:t>
      </w:r>
    </w:p>
    <w:p>
      <w:pPr>
        <w:keepNext/>
        <w:spacing w:after="160" w:before="300" w:line="360"/>
        <w:jc w:val="left"/>
      </w:pPr>
      <w:r>
        <w:rPr>
          <w:rFonts w:ascii="Times New Roman" w:cs="Times New Roman" w:eastAsia="Times New Roman" w:hAnsi="Times New Roman"/>
          <w:b/>
          <w:bCs/>
          <w:sz w:val="24"/>
          <w:szCs w:val="24"/>
        </w:rPr>
        <w:t xml:space="preserve">I. La ruptura desde 2023</w:t>
      </w:r>
    </w:p>
    <w:p>
      <w:pPr>
        <w:spacing w:after="140" w:line="360"/>
        <w:jc w:val="both"/>
      </w:pPr>
      <w:r>
        <w:rPr>
          <w:rFonts w:ascii="Times New Roman" w:cs="Times New Roman" w:eastAsia="Times New Roman" w:hAnsi="Times New Roman"/>
          <w:sz w:val="24"/>
          <w:szCs w:val="24"/>
        </w:rPr>
        <w:t xml:space="preserve">La serie oficial del Banco Central muestra que la mora de las financiaciones a familias era 2,70 % del saldo en noviembre de 2023. En mayo de 2026 alcanzó 12,80 %. En personales y tarjetas, el salto fue de 2,39 % a 14,52 %. La primera se multiplicó por 4,75; la segunda, por 6,07.</w:t>
      </w:r>
    </w:p>
    <w:p>
      <w:pPr>
        <w:spacing w:after="140" w:line="360"/>
        <w:jc w:val="both"/>
      </w:pPr>
      <w:r>
        <w:rPr>
          <w:rFonts w:ascii="Times New Roman" w:cs="Times New Roman" w:eastAsia="Times New Roman" w:hAnsi="Times New Roman"/>
          <w:sz w:val="24"/>
          <w:szCs w:val="24"/>
        </w:rPr>
        <w:t xml:space="preserve">La trayectoria no fue lineal. En diciembre de 2024 la mora de hogares aún era 2,55 %. La aceleración ocurrió durante 2025 y 2026: 9,33 % al cierre de 2025 y 12,80 % cinco meses después. Esta forma temporal importa porque impide presentar el resultado como una mera continuidad histórica.</w:t>
      </w:r>
    </w:p>
    <w:p>
      <w:pPr>
        <w:spacing w:after="140" w:line="360"/>
        <w:jc w:val="both"/>
      </w:pPr>
      <w:r>
        <w:rPr>
          <w:rFonts w:ascii="Times New Roman" w:cs="Times New Roman" w:eastAsia="Times New Roman" w:hAnsi="Times New Roman"/>
          <w:sz w:val="24"/>
          <w:szCs w:val="24"/>
        </w:rPr>
        <w:t xml:space="preserve">Fuera de los bancos, la situación es todavía más severa. En febrero de 2026, el BCRA registró 26,9 % de irregularidad en proveedores no financieros de crédito —PNFC—; 34,1 % en préstamos personales y 19,4 % en tarjetas. Los PNFC alcanzaban alrededor de 12,1 millones de personas, con más de 7 millones en fintech. Limitar la respuesta a bancos o tarjetas excluiría el segmento de mayor irregularidad.</w:t>
      </w:r>
    </w:p>
    <w:p>
      <w:pPr>
        <w:spacing w:after="140" w:line="360"/>
        <w:jc w:val="both"/>
      </w:pPr>
      <w:r>
        <w:rPr>
          <w:rFonts w:ascii="Times New Roman" w:cs="Times New Roman" w:eastAsia="Times New Roman" w:hAnsi="Times New Roman"/>
          <w:sz w:val="24"/>
          <w:szCs w:val="24"/>
        </w:rPr>
        <w:t xml:space="preserve">La fecha del 1° de enero de 2023 delimita la ventana transitoria porque permite abarcar deudas originadas antes y durante la secuencia que termina en el deterioro observado. No presupone que todo crédito posterior sea abusivo ni que una decisión política explique por sí sola la mora. Es una regla de alcance para saldos pendientes en una emergencia demostrable.</w:t>
      </w:r>
    </w:p>
    <w:p>
      <w:pPr>
        <w:spacing w:after="140" w:line="360"/>
        <w:jc w:val="both"/>
      </w:pPr>
      <w:r>
        <w:rPr>
          <w:rFonts w:ascii="Times New Roman" w:cs="Times New Roman" w:eastAsia="Times New Roman" w:hAnsi="Times New Roman"/>
          <w:sz w:val="24"/>
          <w:szCs w:val="24"/>
        </w:rPr>
        <w:t xml:space="preserve">El detalle, las unidades y los controles se encuentran en el diagnóstico cuantitativo. La propuesta evita confundir saldo con personas, stock con flujo, o correlación con causalidad.</w:t>
      </w:r>
    </w:p>
    <w:p>
      <w:pPr>
        <w:keepNext/>
        <w:spacing w:after="160" w:before="300" w:line="360"/>
        <w:jc w:val="left"/>
      </w:pPr>
      <w:r>
        <w:rPr>
          <w:rFonts w:ascii="Times New Roman" w:cs="Times New Roman" w:eastAsia="Times New Roman" w:hAnsi="Times New Roman"/>
          <w:b/>
          <w:bCs/>
          <w:sz w:val="24"/>
          <w:szCs w:val="24"/>
        </w:rPr>
        <w:t xml:space="preserve">II. Precio, inflación y capacidad de pago</w:t>
      </w:r>
    </w:p>
    <w:p>
      <w:pPr>
        <w:spacing w:after="140" w:line="360"/>
        <w:jc w:val="both"/>
      </w:pPr>
      <w:r>
        <w:rPr>
          <w:rFonts w:ascii="Times New Roman" w:cs="Times New Roman" w:eastAsia="Times New Roman" w:hAnsi="Times New Roman"/>
          <w:sz w:val="24"/>
          <w:szCs w:val="24"/>
        </w:rPr>
        <w:t xml:space="preserve">El costo real del crédito cambió drásticamente cuando descendió la inflación sin que las tasas nominales lo hicieran en la misma proporción. En la serie disponible, la tasa efectiva anual promedio de préstamos personales tuvo un rendimiento real aproximado de −29,2 % en 2024, +43,3 % en 2025 y +45,6 % entre enero y julio de 2026. Una aproximación de CFTEA arroja +65,7 % y +66,5 % reales en los dos últimos períodos.</w:t>
      </w:r>
    </w:p>
    <w:p>
      <w:pPr>
        <w:spacing w:after="140" w:line="360"/>
        <w:jc w:val="both"/>
      </w:pPr>
      <w:r>
        <w:rPr>
          <w:rFonts w:ascii="Times New Roman" w:cs="Times New Roman" w:eastAsia="Times New Roman" w:hAnsi="Times New Roman"/>
          <w:sz w:val="24"/>
          <w:szCs w:val="24"/>
        </w:rPr>
        <w:t xml:space="preserve">La fórmula usada es:</w:t>
      </w:r>
    </w:p>
    <w:p>
      <w:pPr>
        <w:spacing w:after="160" w:before="80" w:line="300"/>
        <w:jc w:val="center"/>
      </w:pPr>
      <w:r>
        <w:rPr>
          <w:rFonts w:ascii="Consolas" w:cs="Consolas" w:eastAsia="Consolas" w:hAnsi="Consolas"/>
          <w:sz w:val="22"/>
          <w:szCs w:val="22"/>
        </w:rPr>
        <w:t xml:space="preserve">tasa real = ((1 + tasa efectiva) / (1 + inflación interanual)) − 1</w:t>
      </w:r>
    </w:p>
    <w:p>
      <w:pPr>
        <w:spacing w:after="140" w:line="360"/>
        <w:jc w:val="both"/>
      </w:pPr>
      <w:r>
        <w:rPr>
          <w:rFonts w:ascii="Times New Roman" w:cs="Times New Roman" w:eastAsia="Times New Roman" w:hAnsi="Times New Roman"/>
          <w:sz w:val="24"/>
          <w:szCs w:val="24"/>
        </w:rPr>
        <w:t xml:space="preserve">Esto no demuestra el costo ni la legalidad de cada contrato. Sí muestra que evaluar sólo la tasa nominal o comparar deuda con inflación sin igualar períodos produce conclusiones engañosas.</w:t>
      </w:r>
    </w:p>
    <w:p>
      <w:pPr>
        <w:spacing w:after="140" w:line="360"/>
        <w:jc w:val="both"/>
      </w:pPr>
      <w:r>
        <w:rPr>
          <w:rFonts w:ascii="Times New Roman" w:cs="Times New Roman" w:eastAsia="Times New Roman" w:hAnsi="Times New Roman"/>
          <w:sz w:val="24"/>
          <w:szCs w:val="24"/>
        </w:rPr>
        <w:t xml:space="preserve">La exploración mensual encuentra una correlación máxima de 0,488 entre tasa real de personales y mora de personales más tarjetas, con seis meses de rezago. La asociación es consistente con un mecanismo de presión financiera, pero no identifica por sí sola la causa. Ingresos, desempleo, tarifas, composición de cartera, originación, refinanciación y cambios regulatorios también intervienen.</w:t>
      </w:r>
    </w:p>
    <w:p>
      <w:pPr>
        <w:spacing w:after="140" w:line="360"/>
        <w:jc w:val="both"/>
      </w:pPr>
      <w:r>
        <w:rPr>
          <w:rFonts w:ascii="Times New Roman" w:cs="Times New Roman" w:eastAsia="Times New Roman" w:hAnsi="Times New Roman"/>
          <w:sz w:val="24"/>
          <w:szCs w:val="24"/>
        </w:rPr>
        <w:t xml:space="preserve">Por esa razón el proyecto no dispone una quita general basada en una acusación causal no identificada. Establece un estándar prospectivo, un control de costo y una consecuencia individual cuando se prueba que el proveedor omitió evaluar o prestó en condiciones incompatibles con la capacidad de pago.</w:t>
      </w:r>
    </w:p>
    <w:p>
      <w:pPr>
        <w:keepNext/>
        <w:spacing w:after="160" w:before="300" w:line="360"/>
        <w:jc w:val="left"/>
      </w:pPr>
      <w:r>
        <w:rPr>
          <w:rFonts w:ascii="Times New Roman" w:cs="Times New Roman" w:eastAsia="Times New Roman" w:hAnsi="Times New Roman"/>
          <w:b/>
          <w:bCs/>
          <w:sz w:val="24"/>
          <w:szCs w:val="24"/>
        </w:rPr>
        <w:t xml:space="preserve">III. Por qué la mora no es sólo un problema del deudor</w:t>
      </w:r>
    </w:p>
    <w:p>
      <w:pPr>
        <w:spacing w:after="140" w:line="360"/>
        <w:jc w:val="both"/>
      </w:pPr>
      <w:r>
        <w:rPr>
          <w:rFonts w:ascii="Times New Roman" w:cs="Times New Roman" w:eastAsia="Times New Roman" w:hAnsi="Times New Roman"/>
          <w:sz w:val="24"/>
          <w:szCs w:val="24"/>
        </w:rPr>
        <w:t xml:space="preserve">El crédito es una actividad profesional. El proveedor dispone de información, modelos, series históricas, capacidad de diversificación, precio, garantías, provisiones y mecanismos de cobranza. La persona consumidora enfrenta una asimetría técnica, contractual e informativa, a menudo bajo urgencia.</w:t>
      </w:r>
    </w:p>
    <w:p>
      <w:pPr>
        <w:spacing w:after="140" w:line="360"/>
        <w:jc w:val="both"/>
      </w:pPr>
      <w:r>
        <w:rPr>
          <w:rFonts w:ascii="Times New Roman" w:cs="Times New Roman" w:eastAsia="Times New Roman" w:hAnsi="Times New Roman"/>
          <w:sz w:val="24"/>
          <w:szCs w:val="24"/>
        </w:rPr>
        <w:t xml:space="preserve">Una regla que carga todo el fracaso sobre quien recibe el crédito produce un incentivo incorrecto: el originante obtiene el rendimiento si el préstamo funciona, pero puede ignorar asequibilidad si conserva capital, intereses y cargos cuando falla. La evaluación responsable corrige ese riesgo moral. Quien pudo y debió detectar que la cuota destruía el presupuesto debe compartir la pérdida que su decisión contribuyó a crear.</w:t>
      </w:r>
    </w:p>
    <w:p>
      <w:pPr>
        <w:spacing w:after="140" w:line="360"/>
        <w:jc w:val="both"/>
      </w:pPr>
      <w:r>
        <w:rPr>
          <w:rFonts w:ascii="Times New Roman" w:cs="Times New Roman" w:eastAsia="Times New Roman" w:hAnsi="Times New Roman"/>
          <w:sz w:val="24"/>
          <w:szCs w:val="24"/>
        </w:rPr>
        <w:t xml:space="preserve">La responsabilidad no es automática. El artículo 20 exige gravedad, relación causal y proporcionalidad. Primero caen cargos ilegales y punitorios; después pueden reducirse intereses. Sólo un juez puede tocar capital o privilegios. Así se distingue entre:</w:t>
      </w:r>
    </w:p>
    <w:p>
      <w:pPr>
        <w:spacing w:after="120" w:line="360"/>
        <w:ind w:left="709" w:hanging="340"/>
        <w:jc w:val="both"/>
      </w:pPr>
      <w:r>
        <w:rPr>
          <w:rFonts w:ascii="Times New Roman" w:cs="Times New Roman" w:eastAsia="Times New Roman" w:hAnsi="Times New Roman"/>
          <w:sz w:val="24"/>
          <w:szCs w:val="24"/>
        </w:rPr>
        <w:t xml:space="preserve">- sobreendeudamiento pasivo por desempleo, enfermedad, cuidado o caída de ingresos;</w:t>
      </w:r>
    </w:p>
    <w:p>
      <w:pPr>
        <w:spacing w:after="120" w:line="360"/>
        <w:ind w:left="709" w:hanging="340"/>
        <w:jc w:val="both"/>
      </w:pPr>
      <w:r>
        <w:rPr>
          <w:rFonts w:ascii="Times New Roman" w:cs="Times New Roman" w:eastAsia="Times New Roman" w:hAnsi="Times New Roman"/>
          <w:sz w:val="24"/>
          <w:szCs w:val="24"/>
        </w:rPr>
        <w:t xml:space="preserve">- sobreendeudamiento agravado por diseño u originación irresponsable; y</w:t>
      </w:r>
    </w:p>
    <w:p>
      <w:pPr>
        <w:spacing w:after="120" w:line="360"/>
        <w:ind w:left="709" w:hanging="340"/>
        <w:jc w:val="both"/>
      </w:pPr>
      <w:r>
        <w:rPr>
          <w:rFonts w:ascii="Times New Roman" w:cs="Times New Roman" w:eastAsia="Times New Roman" w:hAnsi="Times New Roman"/>
          <w:sz w:val="24"/>
          <w:szCs w:val="24"/>
        </w:rPr>
        <w:t xml:space="preserve">- fraude probado de la persona deudora.</w:t>
      </w:r>
    </w:p>
    <w:p>
      <w:pPr>
        <w:spacing w:after="140" w:line="360"/>
        <w:jc w:val="both"/>
      </w:pPr>
      <w:r>
        <w:rPr>
          <w:rFonts w:ascii="Times New Roman" w:cs="Times New Roman" w:eastAsia="Times New Roman" w:hAnsi="Times New Roman"/>
          <w:sz w:val="24"/>
          <w:szCs w:val="24"/>
        </w:rPr>
        <w:t xml:space="preserve">La buena fe se presume, pero no protege ocultamiento doloso ni crédito obtenido mediante engaño.</w:t>
      </w:r>
    </w:p>
    <w:p>
      <w:pPr>
        <w:keepNext/>
        <w:spacing w:after="160" w:before="300" w:line="360"/>
        <w:jc w:val="left"/>
      </w:pPr>
      <w:r>
        <w:rPr>
          <w:rFonts w:ascii="Times New Roman" w:cs="Times New Roman" w:eastAsia="Times New Roman" w:hAnsi="Times New Roman"/>
          <w:b/>
          <w:bCs/>
          <w:sz w:val="24"/>
          <w:szCs w:val="24"/>
        </w:rPr>
        <w:t xml:space="preserve">IV. La matemática de una cuota justa</w:t>
      </w:r>
    </w:p>
    <w:p>
      <w:pPr>
        <w:spacing w:after="140" w:line="360"/>
        <w:jc w:val="both"/>
      </w:pPr>
      <w:r>
        <w:rPr>
          <w:rFonts w:ascii="Times New Roman" w:cs="Times New Roman" w:eastAsia="Times New Roman" w:hAnsi="Times New Roman"/>
          <w:sz w:val="24"/>
          <w:szCs w:val="24"/>
        </w:rPr>
        <w:t xml:space="preserve">Un porcentaje fijo del salario no protege por igual. Si una persona gana $1.200.000 y necesita $1.250.000 para la subsistencia de su hogar, una cuota de 20 % sigue siendo imposible. Por eso se emplean dos topes simultáneos.</w:t>
      </w:r>
    </w:p>
    <w:p>
      <w:pPr>
        <w:spacing w:after="140" w:line="360"/>
        <w:jc w:val="both"/>
      </w:pPr>
      <w:r>
        <w:rPr>
          <w:rFonts w:ascii="Times New Roman" w:cs="Times New Roman" w:eastAsia="Times New Roman" w:hAnsi="Times New Roman"/>
          <w:sz w:val="24"/>
          <w:szCs w:val="24"/>
        </w:rPr>
        <w:t xml:space="preserve">Para planes ordinarios:</w:t>
      </w:r>
    </w:p>
    <w:p>
      <w:pPr>
        <w:spacing w:after="160" w:before="80" w:line="300"/>
        <w:jc w:val="center"/>
      </w:pPr>
      <w:r>
        <w:rPr>
          <w:rFonts w:ascii="Consolas" w:cs="Consolas" w:eastAsia="Consolas" w:hAnsi="Consolas"/>
          <w:sz w:val="22"/>
          <w:szCs w:val="22"/>
        </w:rPr>
        <w:t xml:space="preserve">CMP = mínimo (20 % × ingreso neto; 70 % × excedente sobre el mínimo vital)</w:t>
      </w:r>
    </w:p>
    <w:p>
      <w:pPr>
        <w:spacing w:after="140" w:line="360"/>
        <w:jc w:val="both"/>
      </w:pPr>
      <w:r>
        <w:rPr>
          <w:rFonts w:ascii="Times New Roman" w:cs="Times New Roman" w:eastAsia="Times New Roman" w:hAnsi="Times New Roman"/>
          <w:sz w:val="24"/>
          <w:szCs w:val="24"/>
        </w:rPr>
        <w:t xml:space="preserve">Para vulnerabilidad:</w:t>
      </w:r>
    </w:p>
    <w:p>
      <w:pPr>
        <w:spacing w:after="160" w:before="80" w:line="300"/>
        <w:jc w:val="center"/>
      </w:pPr>
      <w:r>
        <w:rPr>
          <w:rFonts w:ascii="Consolas" w:cs="Consolas" w:eastAsia="Consolas" w:hAnsi="Consolas"/>
          <w:sz w:val="22"/>
          <w:szCs w:val="22"/>
        </w:rPr>
        <w:t xml:space="preserve">CMP_v = mínimo (15 % × ingreso neto; 60 % × excedente sobre el mínimo vital)</w:t>
      </w:r>
    </w:p>
    <w:p>
      <w:pPr>
        <w:spacing w:after="140" w:line="360"/>
        <w:jc w:val="both"/>
      </w:pPr>
      <w:r>
        <w:rPr>
          <w:rFonts w:ascii="Times New Roman" w:cs="Times New Roman" w:eastAsia="Times New Roman" w:hAnsi="Times New Roman"/>
          <w:sz w:val="24"/>
          <w:szCs w:val="24"/>
        </w:rPr>
        <w:t xml:space="preserve">Si no hay excedente, la capacidad es cero. La ley no inventa una cuota: abre una espera, un trámite sin activos o una exoneración judicial. Si existe excedente, reserva una parte para shocks y evita que el plan vuelva a fracasar ante el primer gasto no previsto.</w:t>
      </w:r>
    </w:p>
    <w:p>
      <w:pPr>
        <w:spacing w:after="140" w:line="360"/>
        <w:jc w:val="both"/>
      </w:pPr>
      <w:r>
        <w:rPr>
          <w:rFonts w:ascii="Times New Roman" w:cs="Times New Roman" w:eastAsia="Times New Roman" w:hAnsi="Times New Roman"/>
          <w:sz w:val="24"/>
          <w:szCs w:val="24"/>
        </w:rPr>
        <w:t xml:space="preserve">El mínimo vital combina Canasta Básica Total del hogar con suplementos documentados de vivienda, salud, discapacidad, cuidado, educación, transporte y trabajo que no estén ya captados. La prohibición de doble cómputo evita inflarlo artificialmente; la revisión individual evita que un promedio borre una necesidad real.</w:t>
      </w:r>
    </w:p>
    <w:p>
      <w:pPr>
        <w:spacing w:after="140" w:line="360"/>
        <w:jc w:val="both"/>
      </w:pPr>
      <w:r>
        <w:rPr>
          <w:rFonts w:ascii="Times New Roman" w:cs="Times New Roman" w:eastAsia="Times New Roman" w:hAnsi="Times New Roman"/>
          <w:sz w:val="24"/>
          <w:szCs w:val="24"/>
        </w:rPr>
        <w:t xml:space="preserve">Para crédito nuevo el estándar es más preventivo: la suma de deudas de consumo no puede superar el menor entre 25 % del ingreso y 60 % del excedente; todas las deudas no pueden superar 35 % del ingreso ni consumir el excedente entero.</w:t>
      </w:r>
    </w:p>
    <w:p>
      <w:pPr>
        <w:spacing w:after="140" w:line="360"/>
        <w:jc w:val="both"/>
      </w:pPr>
      <w:r>
        <w:rPr>
          <w:rFonts w:ascii="Times New Roman" w:cs="Times New Roman" w:eastAsia="Times New Roman" w:hAnsi="Times New Roman"/>
          <w:sz w:val="24"/>
          <w:szCs w:val="24"/>
        </w:rPr>
        <w:t xml:space="preserve">El documento metodológico presenta ejemplos y sensibilidades que deben simularse con microdatos antes de fijar la reglamentación.</w:t>
      </w:r>
    </w:p>
    <w:p>
      <w:pPr>
        <w:keepNext/>
        <w:spacing w:after="160" w:before="300" w:line="360"/>
        <w:jc w:val="left"/>
      </w:pPr>
      <w:r>
        <w:rPr>
          <w:rFonts w:ascii="Times New Roman" w:cs="Times New Roman" w:eastAsia="Times New Roman" w:hAnsi="Times New Roman"/>
          <w:b/>
          <w:bCs/>
          <w:sz w:val="24"/>
          <w:szCs w:val="24"/>
        </w:rPr>
        <w:t xml:space="preserve">V. Un costo comparable, no una tasa elegida al azar</w:t>
      </w:r>
    </w:p>
    <w:p>
      <w:pPr>
        <w:spacing w:after="140" w:line="360"/>
        <w:jc w:val="both"/>
      </w:pPr>
      <w:r>
        <w:rPr>
          <w:rFonts w:ascii="Times New Roman" w:cs="Times New Roman" w:eastAsia="Times New Roman" w:hAnsi="Times New Roman"/>
          <w:sz w:val="24"/>
          <w:szCs w:val="24"/>
        </w:rPr>
        <w:t xml:space="preserve">Varios expedientes vinculan el precio a una tasa pasiva, TAMAR o BADLAR. Otros comparan TNA con CFTEA. Esas soluciones pueden fallar porque mezclan bases, ignoran gastos o quedan demasiado lejos del costo real según monto y plazo.</w:t>
      </w:r>
    </w:p>
    <w:p>
      <w:pPr>
        <w:spacing w:after="140" w:line="360"/>
        <w:jc w:val="both"/>
      </w:pPr>
      <w:r>
        <w:rPr>
          <w:rFonts w:ascii="Times New Roman" w:cs="Times New Roman" w:eastAsia="Times New Roman" w:hAnsi="Times New Roman"/>
          <w:sz w:val="24"/>
          <w:szCs w:val="24"/>
        </w:rPr>
        <w:t xml:space="preserve">El proyecto exige que el BCRA publique el CFTEA de operaciones realmente originadas por producto, monto, plazo, canal y proveedor. La mediana comparable forma la Tasa de Referencia de Crédito al Consumo. El límite general es 1,5 veces esa mediana y puede reducirse, no aumentarse, por reglamentación.</w:t>
      </w:r>
    </w:p>
    <w:p>
      <w:pPr>
        <w:spacing w:after="140" w:line="360"/>
        <w:jc w:val="both"/>
      </w:pPr>
      <w:r>
        <w:rPr>
          <w:rFonts w:ascii="Times New Roman" w:cs="Times New Roman" w:eastAsia="Times New Roman" w:hAnsi="Times New Roman"/>
          <w:sz w:val="24"/>
          <w:szCs w:val="24"/>
        </w:rPr>
        <w:t xml:space="preserve">La mediana evita que unos pocos extremos definan el mercado; los grupos por monto y plazo reconocen costos diferentes; la publicación por proveedor permite supervisión. Para la ventana transitoria, se aplica la menor entre tasa contractual válida, referencia comparable y TAMAR llevada a la misma base más veinticinco puntos.</w:t>
      </w:r>
    </w:p>
    <w:p>
      <w:pPr>
        <w:spacing w:after="140" w:line="360"/>
        <w:jc w:val="both"/>
      </w:pPr>
      <w:r>
        <w:rPr>
          <w:rFonts w:ascii="Times New Roman" w:cs="Times New Roman" w:eastAsia="Times New Roman" w:hAnsi="Times New Roman"/>
          <w:sz w:val="24"/>
          <w:szCs w:val="24"/>
        </w:rPr>
        <w:t xml:space="preserve">Un tope aislado puede reducir oferta o desplazar crédito a la informalidad. Por eso se combina con cobertura universal, registro PNFC, portabilidad, competencia, asesoramiento y evaluación anual de oferta y exclusión.</w:t>
      </w:r>
    </w:p>
    <w:p>
      <w:pPr>
        <w:keepNext/>
        <w:spacing w:after="160" w:before="300" w:line="360"/>
        <w:jc w:val="left"/>
      </w:pPr>
      <w:r>
        <w:rPr>
          <w:rFonts w:ascii="Times New Roman" w:cs="Times New Roman" w:eastAsia="Times New Roman" w:hAnsi="Times New Roman"/>
          <w:b/>
          <w:bCs/>
          <w:sz w:val="24"/>
          <w:szCs w:val="24"/>
        </w:rPr>
        <w:t xml:space="preserve">VI. Reestructurar antes de ejecutar</w:t>
      </w:r>
    </w:p>
    <w:p>
      <w:pPr>
        <w:spacing w:after="140" w:line="360"/>
        <w:jc w:val="both"/>
      </w:pPr>
      <w:r>
        <w:rPr>
          <w:rFonts w:ascii="Times New Roman" w:cs="Times New Roman" w:eastAsia="Times New Roman" w:hAnsi="Times New Roman"/>
          <w:sz w:val="24"/>
          <w:szCs w:val="24"/>
        </w:rPr>
        <w:t xml:space="preserve">La cobranza fragmentada genera una carrera: cada acreedor intenta cobrar primero, aunque el resultado conjunto sea la insolvencia del hogar y una menor recuperación total. La audiencia global internaliza esa externalidad.</w:t>
      </w:r>
    </w:p>
    <w:p>
      <w:pPr>
        <w:spacing w:after="140" w:line="360"/>
        <w:jc w:val="both"/>
      </w:pPr>
      <w:r>
        <w:rPr>
          <w:rFonts w:ascii="Times New Roman" w:cs="Times New Roman" w:eastAsia="Times New Roman" w:hAnsi="Times New Roman"/>
          <w:sz w:val="24"/>
          <w:szCs w:val="24"/>
        </w:rPr>
        <w:t xml:space="preserve">El procedimiento administrativo:</w:t>
      </w:r>
    </w:p>
    <w:p>
      <w:pPr>
        <w:spacing w:after="120" w:line="360"/>
        <w:ind w:left="709" w:hanging="340"/>
        <w:jc w:val="both"/>
      </w:pPr>
      <w:r>
        <w:rPr>
          <w:rFonts w:ascii="Times New Roman" w:cs="Times New Roman" w:eastAsia="Times New Roman" w:hAnsi="Times New Roman"/>
          <w:sz w:val="24"/>
          <w:szCs w:val="24"/>
        </w:rPr>
        <w:t xml:space="preserve">1. identifica todo el pasivo;</w:t>
      </w:r>
    </w:p>
    <w:p>
      <w:pPr>
        <w:spacing w:after="120" w:line="360"/>
        <w:ind w:left="709" w:hanging="340"/>
        <w:jc w:val="both"/>
      </w:pPr>
      <w:r>
        <w:rPr>
          <w:rFonts w:ascii="Times New Roman" w:cs="Times New Roman" w:eastAsia="Times New Roman" w:hAnsi="Times New Roman"/>
          <w:sz w:val="24"/>
          <w:szCs w:val="24"/>
        </w:rPr>
        <w:t xml:space="preserve">2. obliga a documentar capital, pagos, tasas, cargos y cesiones;</w:t>
      </w:r>
    </w:p>
    <w:p>
      <w:pPr>
        <w:spacing w:after="120" w:line="360"/>
        <w:ind w:left="709" w:hanging="340"/>
        <w:jc w:val="both"/>
      </w:pPr>
      <w:r>
        <w:rPr>
          <w:rFonts w:ascii="Times New Roman" w:cs="Times New Roman" w:eastAsia="Times New Roman" w:hAnsi="Times New Roman"/>
          <w:sz w:val="24"/>
          <w:szCs w:val="24"/>
        </w:rPr>
        <w:t xml:space="preserve">3. depura conceptos ilegales o no acreditados;</w:t>
      </w:r>
    </w:p>
    <w:p>
      <w:pPr>
        <w:spacing w:after="120" w:line="360"/>
        <w:ind w:left="709" w:hanging="340"/>
        <w:jc w:val="both"/>
      </w:pPr>
      <w:r>
        <w:rPr>
          <w:rFonts w:ascii="Times New Roman" w:cs="Times New Roman" w:eastAsia="Times New Roman" w:hAnsi="Times New Roman"/>
          <w:sz w:val="24"/>
          <w:szCs w:val="24"/>
        </w:rPr>
        <w:t xml:space="preserve">4. calcula la capacidad total, no una cuota por acreedor;</w:t>
      </w:r>
    </w:p>
    <w:p>
      <w:pPr>
        <w:spacing w:after="120" w:line="360"/>
        <w:ind w:left="709" w:hanging="340"/>
        <w:jc w:val="both"/>
      </w:pPr>
      <w:r>
        <w:rPr>
          <w:rFonts w:ascii="Times New Roman" w:cs="Times New Roman" w:eastAsia="Times New Roman" w:hAnsi="Times New Roman"/>
          <w:sz w:val="24"/>
          <w:szCs w:val="24"/>
        </w:rPr>
        <w:t xml:space="preserve">5. propone un plan por clases; y</w:t>
      </w:r>
    </w:p>
    <w:p>
      <w:pPr>
        <w:spacing w:after="120" w:line="360"/>
        <w:ind w:left="709" w:hanging="340"/>
        <w:jc w:val="both"/>
      </w:pPr>
      <w:r>
        <w:rPr>
          <w:rFonts w:ascii="Times New Roman" w:cs="Times New Roman" w:eastAsia="Times New Roman" w:hAnsi="Times New Roman"/>
          <w:sz w:val="24"/>
          <w:szCs w:val="24"/>
        </w:rPr>
        <w:t xml:space="preserve">6. suspende el agravamiento mientras se negocia.</w:t>
      </w:r>
    </w:p>
    <w:p>
      <w:pPr>
        <w:spacing w:after="140" w:line="360"/>
        <w:jc w:val="both"/>
      </w:pPr>
      <w:r>
        <w:rPr>
          <w:rFonts w:ascii="Times New Roman" w:cs="Times New Roman" w:eastAsia="Times New Roman" w:hAnsi="Times New Roman"/>
          <w:sz w:val="24"/>
          <w:szCs w:val="24"/>
        </w:rPr>
        <w:t xml:space="preserve">La autoridad puede homologar el acuerdo de quienes consienten. Si se alcanza 60 % del capital quirografario y mayoría de acreedores votantes, la persona puede pedir al juez que lo extienda a disidentes. El juez verifica notificación, sostenibilidad, igualdad y que nadie reciba menos que en una liquidación razonable.</w:t>
      </w:r>
    </w:p>
    <w:p>
      <w:pPr>
        <w:spacing w:after="140" w:line="360"/>
        <w:jc w:val="both"/>
      </w:pPr>
      <w:r>
        <w:rPr>
          <w:rFonts w:ascii="Times New Roman" w:cs="Times New Roman" w:eastAsia="Times New Roman" w:hAnsi="Times New Roman"/>
          <w:sz w:val="24"/>
          <w:szCs w:val="24"/>
        </w:rPr>
        <w:t xml:space="preserve">Esta división evita un punto débil de otros proyectos: una oficina administrativa no puede disponer definitivamente propiedad privada sin control jurisdiccional. Al mismo tiempo, la minoría no puede bloquear un plan económicamente superior por mera estrategia.</w:t>
      </w:r>
    </w:p>
    <w:p>
      <w:pPr>
        <w:keepNext/>
        <w:spacing w:after="160" w:before="300" w:line="360"/>
        <w:jc w:val="left"/>
      </w:pPr>
      <w:r>
        <w:rPr>
          <w:rFonts w:ascii="Times New Roman" w:cs="Times New Roman" w:eastAsia="Times New Roman" w:hAnsi="Times New Roman"/>
          <w:b/>
          <w:bCs/>
          <w:sz w:val="24"/>
          <w:szCs w:val="24"/>
        </w:rPr>
        <w:t xml:space="preserve">VII. Punitorios, capital y pérdidas</w:t>
      </w:r>
    </w:p>
    <w:p>
      <w:pPr>
        <w:spacing w:after="140" w:line="360"/>
        <w:jc w:val="both"/>
      </w:pPr>
      <w:r>
        <w:rPr>
          <w:rFonts w:ascii="Times New Roman" w:cs="Times New Roman" w:eastAsia="Times New Roman" w:hAnsi="Times New Roman"/>
          <w:sz w:val="24"/>
          <w:szCs w:val="24"/>
        </w:rPr>
        <w:t xml:space="preserve">El régimen transitorio elimina el cien por ciento de punitorios, penalidades y cargos automáticos de cobranza. Esos conceptos remuneran o castigan el atraso; no son capital entregado. Cuando la emergencia vuelve inviable el pago, mantenerlos puede empeorar la pérdida de ambos lados.</w:t>
      </w:r>
    </w:p>
    <w:p>
      <w:pPr>
        <w:spacing w:after="140" w:line="360"/>
        <w:jc w:val="both"/>
      </w:pPr>
      <w:r>
        <w:rPr>
          <w:rFonts w:ascii="Times New Roman" w:cs="Times New Roman" w:eastAsia="Times New Roman" w:hAnsi="Times New Roman"/>
          <w:sz w:val="24"/>
          <w:szCs w:val="24"/>
        </w:rPr>
        <w:t xml:space="preserve">El capital legítimo se preserva como regla. Puede reducirse por:</w:t>
      </w:r>
    </w:p>
    <w:p>
      <w:pPr>
        <w:spacing w:after="120" w:line="360"/>
        <w:ind w:left="709" w:hanging="340"/>
        <w:jc w:val="both"/>
      </w:pPr>
      <w:r>
        <w:rPr>
          <w:rFonts w:ascii="Times New Roman" w:cs="Times New Roman" w:eastAsia="Times New Roman" w:hAnsi="Times New Roman"/>
          <w:sz w:val="24"/>
          <w:szCs w:val="24"/>
        </w:rPr>
        <w:t xml:space="preserve">- acuerdo voluntario;</w:t>
      </w:r>
    </w:p>
    <w:p>
      <w:pPr>
        <w:spacing w:after="120" w:line="360"/>
        <w:ind w:left="709" w:hanging="340"/>
        <w:jc w:val="both"/>
      </w:pPr>
      <w:r>
        <w:rPr>
          <w:rFonts w:ascii="Times New Roman" w:cs="Times New Roman" w:eastAsia="Times New Roman" w:hAnsi="Times New Roman"/>
          <w:sz w:val="24"/>
          <w:szCs w:val="24"/>
        </w:rPr>
        <w:t xml:space="preserve">- sanción judicial proporcional por préstamo irresponsable; o</w:t>
      </w:r>
    </w:p>
    <w:p>
      <w:pPr>
        <w:spacing w:after="120" w:line="360"/>
        <w:ind w:left="709" w:hanging="340"/>
        <w:jc w:val="both"/>
      </w:pPr>
      <w:r>
        <w:rPr>
          <w:rFonts w:ascii="Times New Roman" w:cs="Times New Roman" w:eastAsia="Times New Roman" w:hAnsi="Times New Roman"/>
          <w:sz w:val="24"/>
          <w:szCs w:val="24"/>
        </w:rPr>
        <w:t xml:space="preserve">- exoneración concursal luego de plan, liquidación o comprobación de inexistencia de activos y capacidad.</w:t>
      </w:r>
    </w:p>
    <w:p>
      <w:pPr>
        <w:spacing w:after="140" w:line="360"/>
        <w:jc w:val="both"/>
      </w:pPr>
      <w:r>
        <w:rPr>
          <w:rFonts w:ascii="Times New Roman" w:cs="Times New Roman" w:eastAsia="Times New Roman" w:hAnsi="Times New Roman"/>
          <w:sz w:val="24"/>
          <w:szCs w:val="24"/>
        </w:rPr>
        <w:t xml:space="preserve">La distinción busca justicia y constitucionalidad. Un perdón automático igual para acreedores diligentes y predatorios no distribuye responsabilidad: la borra.</w:t>
      </w:r>
    </w:p>
    <w:p>
      <w:pPr>
        <w:keepNext/>
        <w:spacing w:after="160" w:before="300" w:line="360"/>
        <w:jc w:val="left"/>
      </w:pPr>
      <w:r>
        <w:rPr>
          <w:rFonts w:ascii="Times New Roman" w:cs="Times New Roman" w:eastAsia="Times New Roman" w:hAnsi="Times New Roman"/>
          <w:b/>
          <w:bCs/>
          <w:sz w:val="24"/>
          <w:szCs w:val="24"/>
        </w:rPr>
        <w:t xml:space="preserve">VIII. Segunda oportunidad real</w:t>
      </w:r>
    </w:p>
    <w:p>
      <w:pPr>
        <w:spacing w:after="140" w:line="360"/>
        <w:jc w:val="both"/>
      </w:pPr>
      <w:r>
        <w:rPr>
          <w:rFonts w:ascii="Times New Roman" w:cs="Times New Roman" w:eastAsia="Times New Roman" w:hAnsi="Times New Roman"/>
          <w:sz w:val="24"/>
          <w:szCs w:val="24"/>
        </w:rPr>
        <w:t xml:space="preserve">La Ley 24.522 permite el concurso de personas humanas, pero su estructura está pensada principalmente para empresas. Para un hogar sin activos, los costos pueden ser superiores a la deuda. Sin una salida, la insolvencia se convierte en exclusión laboral, habitacional y financiera persistente.</w:t>
      </w:r>
    </w:p>
    <w:p>
      <w:pPr>
        <w:spacing w:after="140" w:line="360"/>
        <w:jc w:val="both"/>
      </w:pPr>
      <w:r>
        <w:rPr>
          <w:rFonts w:ascii="Times New Roman" w:cs="Times New Roman" w:eastAsia="Times New Roman" w:hAnsi="Times New Roman"/>
          <w:sz w:val="24"/>
          <w:szCs w:val="24"/>
        </w:rPr>
        <w:t xml:space="preserve">El Título V crea tres rutas:</w:t>
      </w:r>
    </w:p>
    <w:p>
      <w:pPr>
        <w:spacing w:after="120" w:line="360"/>
        <w:ind w:left="709" w:hanging="340"/>
        <w:jc w:val="both"/>
      </w:pPr>
      <w:r>
        <w:rPr>
          <w:rFonts w:ascii="Times New Roman" w:cs="Times New Roman" w:eastAsia="Times New Roman" w:hAnsi="Times New Roman"/>
          <w:sz w:val="24"/>
          <w:szCs w:val="24"/>
        </w:rPr>
        <w:t xml:space="preserve">- trámite de seis meses sin activos ni capacidad;</w:t>
      </w:r>
    </w:p>
    <w:p>
      <w:pPr>
        <w:spacing w:after="120" w:line="360"/>
        <w:ind w:left="709" w:hanging="340"/>
        <w:jc w:val="both"/>
      </w:pPr>
      <w:r>
        <w:rPr>
          <w:rFonts w:ascii="Times New Roman" w:cs="Times New Roman" w:eastAsia="Times New Roman" w:hAnsi="Times New Roman"/>
          <w:sz w:val="24"/>
          <w:szCs w:val="24"/>
        </w:rPr>
        <w:t xml:space="preserve">- plan ordinario de hasta treinta y seis meses, excepcionalmente sesenta para conservar bienes esenciales; y</w:t>
      </w:r>
    </w:p>
    <w:p>
      <w:pPr>
        <w:spacing w:after="120" w:line="360"/>
        <w:ind w:left="709" w:hanging="340"/>
        <w:jc w:val="both"/>
      </w:pPr>
      <w:r>
        <w:rPr>
          <w:rFonts w:ascii="Times New Roman" w:cs="Times New Roman" w:eastAsia="Times New Roman" w:hAnsi="Times New Roman"/>
          <w:sz w:val="24"/>
          <w:szCs w:val="24"/>
        </w:rPr>
        <w:t xml:space="preserve">- liquidación de bienes no protegidos cuando produzca valor real.</w:t>
      </w:r>
    </w:p>
    <w:p>
      <w:pPr>
        <w:spacing w:after="140" w:line="360"/>
        <w:jc w:val="both"/>
      </w:pPr>
      <w:r>
        <w:rPr>
          <w:rFonts w:ascii="Times New Roman" w:cs="Times New Roman" w:eastAsia="Times New Roman" w:hAnsi="Times New Roman"/>
          <w:sz w:val="24"/>
          <w:szCs w:val="24"/>
        </w:rPr>
        <w:t xml:space="preserve">Luego se extingue el pasivo remanente. No se exoneran alimentos, daños dolosos, multas penales, fraude ni deuda posterior. La vivienda hipotecada no pierde la garantía por la ley, pero la ejecución es último recurso y se preserva una alternativa habitacional razonable cuando existe valor excedente.</w:t>
      </w:r>
    </w:p>
    <w:p>
      <w:pPr>
        <w:spacing w:after="140" w:line="360"/>
        <w:jc w:val="both"/>
      </w:pPr>
      <w:r>
        <w:rPr>
          <w:rFonts w:ascii="Times New Roman" w:cs="Times New Roman" w:eastAsia="Times New Roman" w:hAnsi="Times New Roman"/>
          <w:sz w:val="24"/>
          <w:szCs w:val="24"/>
        </w:rPr>
        <w:t xml:space="preserve">El registro de la exoneración es reservado y no comercial. El objetivo no es ocultar un riesgo subsistente: es impedir que una deuda legalmente extinguida funcione como condena perpetua.</w:t>
      </w:r>
    </w:p>
    <w:p>
      <w:pPr>
        <w:keepNext/>
        <w:spacing w:after="160" w:before="300" w:line="360"/>
        <w:jc w:val="left"/>
      </w:pPr>
      <w:r>
        <w:rPr>
          <w:rFonts w:ascii="Times New Roman" w:cs="Times New Roman" w:eastAsia="Times New Roman" w:hAnsi="Times New Roman"/>
          <w:b/>
          <w:bCs/>
          <w:sz w:val="24"/>
          <w:szCs w:val="24"/>
        </w:rPr>
        <w:t xml:space="preserve">IX. Sin socializar pérdidas privadas</w:t>
      </w:r>
    </w:p>
    <w:p>
      <w:pPr>
        <w:spacing w:after="140" w:line="360"/>
        <w:jc w:val="both"/>
      </w:pPr>
      <w:r>
        <w:rPr>
          <w:rFonts w:ascii="Times New Roman" w:cs="Times New Roman" w:eastAsia="Times New Roman" w:hAnsi="Times New Roman"/>
          <w:sz w:val="24"/>
          <w:szCs w:val="24"/>
        </w:rPr>
        <w:t xml:space="preserve">Varios proyectos crean fondos que compran cartera, compensan diferencias de tasa, garantizan incobrables o usan Presupuesto, BCRA, bancos públicos, ANSES o instrumentos respaldados por el Estado. Esos diseños pueden aliviar al deudor, pero también trasladar al conjunto social un riesgo originado y remunerado privadamente.</w:t>
      </w:r>
    </w:p>
    <w:p>
      <w:pPr>
        <w:spacing w:after="140" w:line="360"/>
        <w:jc w:val="both"/>
      </w:pPr>
      <w:r>
        <w:rPr>
          <w:rFonts w:ascii="Times New Roman" w:cs="Times New Roman" w:eastAsia="Times New Roman" w:hAnsi="Times New Roman"/>
          <w:sz w:val="24"/>
          <w:szCs w:val="24"/>
        </w:rPr>
        <w:t xml:space="preserve">Esta propuesta prohíbe expresamente que Tesoro, BCRA, ANSES, FGS o bancos públicos compren o garanticen cartera por este régimen. Los acreedores conservan recuperos, reciben pagos según capacidad y reducen costos de litigio, pero absorben punitorios, quitas acordadas, sanciones y pérdidas concursales como parte del riesgo de crédito.</w:t>
      </w:r>
    </w:p>
    <w:p>
      <w:pPr>
        <w:spacing w:after="140" w:line="360"/>
        <w:jc w:val="both"/>
      </w:pPr>
      <w:r>
        <w:rPr>
          <w:rFonts w:ascii="Times New Roman" w:cs="Times New Roman" w:eastAsia="Times New Roman" w:hAnsi="Times New Roman"/>
          <w:sz w:val="24"/>
          <w:szCs w:val="24"/>
        </w:rPr>
        <w:t xml:space="preserve">El Estado financia sólo bienes públicos: plataforma informativa, conciliación, asistencia jurídica, datos y supervisión. El costo incremental se cubre con una tasa de fiscalización máxima de 0,02 % del saldo promedio de consumo, no trasladable como cargo específico. No existe fondo de rescate.</w:t>
      </w:r>
    </w:p>
    <w:p>
      <w:pPr>
        <w:keepNext/>
        <w:spacing w:after="160" w:before="300" w:line="360"/>
        <w:jc w:val="left"/>
      </w:pPr>
      <w:r>
        <w:rPr>
          <w:rFonts w:ascii="Times New Roman" w:cs="Times New Roman" w:eastAsia="Times New Roman" w:hAnsi="Times New Roman"/>
          <w:b/>
          <w:bCs/>
          <w:sz w:val="24"/>
          <w:szCs w:val="24"/>
        </w:rPr>
        <w:t xml:space="preserve">X. Capacidad del sistema y prudencia</w:t>
      </w:r>
    </w:p>
    <w:p>
      <w:pPr>
        <w:spacing w:after="140" w:line="360"/>
        <w:jc w:val="both"/>
      </w:pPr>
      <w:r>
        <w:rPr>
          <w:rFonts w:ascii="Times New Roman" w:cs="Times New Roman" w:eastAsia="Times New Roman" w:hAnsi="Times New Roman"/>
          <w:sz w:val="24"/>
          <w:szCs w:val="24"/>
        </w:rPr>
        <w:t xml:space="preserve">En mayo de 2026, el BCRA informó previsiones por 86,3 % de la cartera irregular, capital regulatorio de 30,7 % de activos ponderados por riesgo e irregularidad neta de previsiones equivalente a 2,2 % de la responsabilidad patrimonial computable. El ROA de doce meses fue 1,1 %.</w:t>
      </w:r>
    </w:p>
    <w:p>
      <w:pPr>
        <w:spacing w:after="140" w:line="360"/>
        <w:jc w:val="both"/>
      </w:pPr>
      <w:r>
        <w:rPr>
          <w:rFonts w:ascii="Times New Roman" w:cs="Times New Roman" w:eastAsia="Times New Roman" w:hAnsi="Times New Roman"/>
          <w:sz w:val="24"/>
          <w:szCs w:val="24"/>
        </w:rPr>
        <w:t xml:space="preserve">Esto no significa que toda entidad pueda absorber cualquier quita ni que toda ganancia provenga del crédito personal. Significa que el diseño puede enfocarse en pérdidas privadas graduadas, planes sostenibles y estabilidad prudencial, en vez de asumir desde el comienzo que el contribuyente debe rescatar la cartera.</w:t>
      </w:r>
    </w:p>
    <w:p>
      <w:pPr>
        <w:spacing w:after="140" w:line="360"/>
        <w:jc w:val="both"/>
      </w:pPr>
      <w:r>
        <w:rPr>
          <w:rFonts w:ascii="Times New Roman" w:cs="Times New Roman" w:eastAsia="Times New Roman" w:hAnsi="Times New Roman"/>
          <w:sz w:val="24"/>
          <w:szCs w:val="24"/>
        </w:rPr>
        <w:t xml:space="preserve">El BCRA conserva facultades para supervisar capital, provisiones y liquidez. La evaluación anual debe medir oferta, tasa, exclusión, recupero, concentración y traslado de costos.</w:t>
      </w:r>
    </w:p>
    <w:p>
      <w:pPr>
        <w:keepNext/>
        <w:spacing w:after="160" w:before="300" w:line="360"/>
        <w:jc w:val="left"/>
      </w:pPr>
      <w:r>
        <w:rPr>
          <w:rFonts w:ascii="Times New Roman" w:cs="Times New Roman" w:eastAsia="Times New Roman" w:hAnsi="Times New Roman"/>
          <w:b/>
          <w:bCs/>
          <w:sz w:val="24"/>
          <w:szCs w:val="24"/>
        </w:rPr>
        <w:t xml:space="preserve">XI. Datos y verdad pública</w:t>
      </w:r>
    </w:p>
    <w:p>
      <w:pPr>
        <w:spacing w:after="140" w:line="360"/>
        <w:jc w:val="both"/>
      </w:pPr>
      <w:r>
        <w:rPr>
          <w:rFonts w:ascii="Times New Roman" w:cs="Times New Roman" w:eastAsia="Times New Roman" w:hAnsi="Times New Roman"/>
          <w:sz w:val="24"/>
          <w:szCs w:val="24"/>
        </w:rPr>
        <w:t xml:space="preserve">El debate actual mezcla cifras incompatibles y repite afirmaciones sin fuente primaria. Este trabajo no adopta como hecho, por falta de respaldo oficial suficiente, que “el 70 % de las deudas se destina a necesidades básicas”, que exista un número exacto de hogares sobreendeudados o que una cifra de mora represente personas.</w:t>
      </w:r>
    </w:p>
    <w:p>
      <w:pPr>
        <w:spacing w:after="140" w:line="360"/>
        <w:jc w:val="both"/>
      </w:pPr>
      <w:r>
        <w:rPr>
          <w:rFonts w:ascii="Times New Roman" w:cs="Times New Roman" w:eastAsia="Times New Roman" w:hAnsi="Times New Roman"/>
          <w:sz w:val="24"/>
          <w:szCs w:val="24"/>
        </w:rPr>
        <w:t xml:space="preserve">El proyecto exige series abiertas de:</w:t>
      </w:r>
    </w:p>
    <w:p>
      <w:pPr>
        <w:spacing w:after="120" w:line="360"/>
        <w:ind w:left="709" w:hanging="340"/>
        <w:jc w:val="both"/>
      </w:pPr>
      <w:r>
        <w:rPr>
          <w:rFonts w:ascii="Times New Roman" w:cs="Times New Roman" w:eastAsia="Times New Roman" w:hAnsi="Times New Roman"/>
          <w:sz w:val="24"/>
          <w:szCs w:val="24"/>
        </w:rPr>
        <w:t xml:space="preserve">- atrasos por tramo;</w:t>
      </w:r>
    </w:p>
    <w:p>
      <w:pPr>
        <w:spacing w:after="120" w:line="360"/>
        <w:ind w:left="709" w:hanging="340"/>
        <w:jc w:val="both"/>
      </w:pPr>
      <w:r>
        <w:rPr>
          <w:rFonts w:ascii="Times New Roman" w:cs="Times New Roman" w:eastAsia="Times New Roman" w:hAnsi="Times New Roman"/>
          <w:sz w:val="24"/>
          <w:szCs w:val="24"/>
        </w:rPr>
        <w:t xml:space="preserve">- personas y saldos;</w:t>
      </w:r>
    </w:p>
    <w:p>
      <w:pPr>
        <w:spacing w:after="120" w:line="360"/>
        <w:ind w:left="709" w:hanging="340"/>
        <w:jc w:val="both"/>
      </w:pPr>
      <w:r>
        <w:rPr>
          <w:rFonts w:ascii="Times New Roman" w:cs="Times New Roman" w:eastAsia="Times New Roman" w:hAnsi="Times New Roman"/>
          <w:sz w:val="24"/>
          <w:szCs w:val="24"/>
        </w:rPr>
        <w:t xml:space="preserve">- banco, PNFC, fintech y pago diferido;</w:t>
      </w:r>
    </w:p>
    <w:p>
      <w:pPr>
        <w:spacing w:after="120" w:line="360"/>
        <w:ind w:left="709" w:hanging="340"/>
        <w:jc w:val="both"/>
      </w:pPr>
      <w:r>
        <w:rPr>
          <w:rFonts w:ascii="Times New Roman" w:cs="Times New Roman" w:eastAsia="Times New Roman" w:hAnsi="Times New Roman"/>
          <w:sz w:val="24"/>
          <w:szCs w:val="24"/>
        </w:rPr>
        <w:t xml:space="preserve">- originación y CFTEA efectivos;</w:t>
      </w:r>
    </w:p>
    <w:p>
      <w:pPr>
        <w:spacing w:after="120" w:line="360"/>
        <w:ind w:left="709" w:hanging="340"/>
        <w:jc w:val="both"/>
      </w:pPr>
      <w:r>
        <w:rPr>
          <w:rFonts w:ascii="Times New Roman" w:cs="Times New Roman" w:eastAsia="Times New Roman" w:hAnsi="Times New Roman"/>
          <w:sz w:val="24"/>
          <w:szCs w:val="24"/>
        </w:rPr>
        <w:t xml:space="preserve">- reestructuración, cura, castigo y venta;</w:t>
      </w:r>
    </w:p>
    <w:p>
      <w:pPr>
        <w:spacing w:after="120" w:line="360"/>
        <w:ind w:left="709" w:hanging="340"/>
        <w:jc w:val="both"/>
      </w:pPr>
      <w:r>
        <w:rPr>
          <w:rFonts w:ascii="Times New Roman" w:cs="Times New Roman" w:eastAsia="Times New Roman" w:hAnsi="Times New Roman"/>
          <w:sz w:val="24"/>
          <w:szCs w:val="24"/>
        </w:rPr>
        <w:t xml:space="preserve">- superposición de acreedores; y</w:t>
      </w:r>
    </w:p>
    <w:p>
      <w:pPr>
        <w:spacing w:after="120" w:line="360"/>
        <w:ind w:left="709" w:hanging="340"/>
        <w:jc w:val="both"/>
      </w:pPr>
      <w:r>
        <w:rPr>
          <w:rFonts w:ascii="Times New Roman" w:cs="Times New Roman" w:eastAsia="Times New Roman" w:hAnsi="Times New Roman"/>
          <w:sz w:val="24"/>
          <w:szCs w:val="24"/>
        </w:rPr>
        <w:t xml:space="preserve">- cambios metodológicos.</w:t>
      </w:r>
    </w:p>
    <w:p>
      <w:pPr>
        <w:spacing w:after="140" w:line="360"/>
        <w:jc w:val="both"/>
      </w:pPr>
      <w:r>
        <w:rPr>
          <w:rFonts w:ascii="Times New Roman" w:cs="Times New Roman" w:eastAsia="Times New Roman" w:hAnsi="Times New Roman"/>
          <w:sz w:val="24"/>
          <w:szCs w:val="24"/>
        </w:rPr>
        <w:t xml:space="preserve">La ley no necesita esperar datos perfectos para responder a una mora oficial de 12,8 % y 26,9 %. Pero sí debe crear los datos necesarios para evaluar causalidad, costo y resultados sin propaganda.</w:t>
      </w:r>
    </w:p>
    <w:p>
      <w:pPr>
        <w:keepNext/>
        <w:spacing w:after="160" w:before="300" w:line="360"/>
        <w:jc w:val="left"/>
      </w:pPr>
      <w:r>
        <w:rPr>
          <w:rFonts w:ascii="Times New Roman" w:cs="Times New Roman" w:eastAsia="Times New Roman" w:hAnsi="Times New Roman"/>
          <w:b/>
          <w:bCs/>
          <w:sz w:val="24"/>
          <w:szCs w:val="24"/>
        </w:rPr>
        <w:t xml:space="preserve">XII. Derecho comparado</w:t>
      </w:r>
    </w:p>
    <w:p>
      <w:pPr>
        <w:spacing w:after="140" w:line="360"/>
        <w:jc w:val="both"/>
      </w:pPr>
      <w:r>
        <w:rPr>
          <w:rFonts w:ascii="Times New Roman" w:cs="Times New Roman" w:eastAsia="Times New Roman" w:hAnsi="Times New Roman"/>
          <w:sz w:val="24"/>
          <w:szCs w:val="24"/>
        </w:rPr>
        <w:t xml:space="preserve">Brasil incorporó en 2021 la prevención y repactación del superendeudamiento, con audiencia global, mínimo existencial, plan de hasta cinco años y plan judicial compulsorio. La Directiva europea 2023/2225 exige evaluación exhaustiva de ingresos, gastos y obligaciones, prohíbe crédito no solicitado y reconoce revisión humana. La OCDE identifica como riesgos globales la falta de asequibilidad, cargos ocultos, BNPL, crédito digital y cobranza agresiva.</w:t>
      </w:r>
    </w:p>
    <w:p>
      <w:pPr>
        <w:spacing w:after="140" w:line="360"/>
        <w:jc w:val="both"/>
      </w:pPr>
      <w:r>
        <w:rPr>
          <w:rFonts w:ascii="Times New Roman" w:cs="Times New Roman" w:eastAsia="Times New Roman" w:hAnsi="Times New Roman"/>
          <w:sz w:val="24"/>
          <w:szCs w:val="24"/>
        </w:rPr>
        <w:t xml:space="preserve">La propuesta adapta esos estándares al federalismo, inflación, estructura bancaria y expansión PNFC argentina. No importa mecánicamente un porcentaje extranjero.</w:t>
      </w:r>
    </w:p>
    <w:p>
      <w:pPr>
        <w:keepNext/>
        <w:spacing w:after="160" w:before="300" w:line="360"/>
        <w:jc w:val="left"/>
      </w:pPr>
      <w:r>
        <w:rPr>
          <w:rFonts w:ascii="Times New Roman" w:cs="Times New Roman" w:eastAsia="Times New Roman" w:hAnsi="Times New Roman"/>
          <w:b/>
          <w:bCs/>
          <w:sz w:val="24"/>
          <w:szCs w:val="24"/>
        </w:rPr>
        <w:t xml:space="preserve">XIII. Riesgos y salvaguardas</w:t>
      </w:r>
    </w:p>
    <w:p>
      <w:pPr>
        <w:keepNext/>
        <w:spacing w:after="160" w:before="300" w:line="360"/>
        <w:jc w:val="left"/>
      </w:pPr>
      <w:r>
        <w:rPr>
          <w:rFonts w:ascii="Times New Roman" w:cs="Times New Roman" w:eastAsia="Times New Roman" w:hAnsi="Times New Roman"/>
          <w:b/>
          <w:bCs/>
          <w:sz w:val="23"/>
          <w:szCs w:val="23"/>
        </w:rPr>
        <w:t xml:space="preserve">Riesgo de contracción del crédito</w:t>
      </w:r>
    </w:p>
    <w:p>
      <w:pPr>
        <w:spacing w:after="140" w:line="360"/>
        <w:jc w:val="both"/>
      </w:pPr>
      <w:r>
        <w:rPr>
          <w:rFonts w:ascii="Times New Roman" w:cs="Times New Roman" w:eastAsia="Times New Roman" w:hAnsi="Times New Roman"/>
          <w:sz w:val="24"/>
          <w:szCs w:val="24"/>
        </w:rPr>
        <w:t xml:space="preserve">Salvaguardas: tope relativo por producto y plazo, portabilidad, revisión anual, datos de oferta y reglas especiales para refinanciación beneficiosa.</w:t>
      </w:r>
    </w:p>
    <w:p>
      <w:pPr>
        <w:keepNext/>
        <w:spacing w:after="160" w:before="300" w:line="360"/>
        <w:jc w:val="left"/>
      </w:pPr>
      <w:r>
        <w:rPr>
          <w:rFonts w:ascii="Times New Roman" w:cs="Times New Roman" w:eastAsia="Times New Roman" w:hAnsi="Times New Roman"/>
          <w:b/>
          <w:bCs/>
          <w:sz w:val="23"/>
          <w:szCs w:val="23"/>
        </w:rPr>
        <w:t xml:space="preserve">Riesgo moral de la persona deudora</w:t>
      </w:r>
    </w:p>
    <w:p>
      <w:pPr>
        <w:spacing w:after="140" w:line="360"/>
        <w:jc w:val="both"/>
      </w:pPr>
      <w:r>
        <w:rPr>
          <w:rFonts w:ascii="Times New Roman" w:cs="Times New Roman" w:eastAsia="Times New Roman" w:hAnsi="Times New Roman"/>
          <w:sz w:val="24"/>
          <w:szCs w:val="24"/>
        </w:rPr>
        <w:t xml:space="preserve">Salvaguardas: buena fe verificable, información patrimonial, revocación por fraude, espera de siete años para nueva exoneración y contribución de ingresos extraordinarios durante el plan.</w:t>
      </w:r>
    </w:p>
    <w:p>
      <w:pPr>
        <w:keepNext/>
        <w:spacing w:after="160" w:before="300" w:line="360"/>
        <w:jc w:val="left"/>
      </w:pPr>
      <w:r>
        <w:rPr>
          <w:rFonts w:ascii="Times New Roman" w:cs="Times New Roman" w:eastAsia="Times New Roman" w:hAnsi="Times New Roman"/>
          <w:b/>
          <w:bCs/>
          <w:sz w:val="23"/>
          <w:szCs w:val="23"/>
        </w:rPr>
        <w:t xml:space="preserve">Riesgo moral del prestamista</w:t>
      </w:r>
    </w:p>
    <w:p>
      <w:pPr>
        <w:spacing w:after="140" w:line="360"/>
        <w:jc w:val="both"/>
      </w:pPr>
      <w:r>
        <w:rPr>
          <w:rFonts w:ascii="Times New Roman" w:cs="Times New Roman" w:eastAsia="Times New Roman" w:hAnsi="Times New Roman"/>
          <w:sz w:val="24"/>
          <w:szCs w:val="24"/>
        </w:rPr>
        <w:t xml:space="preserve">Salvaguardas: evaluación documentada, carga de la prueba, sanción causal, supervisión de modelos y pérdida de accesorios.</w:t>
      </w:r>
    </w:p>
    <w:p>
      <w:pPr>
        <w:keepNext/>
        <w:spacing w:after="160" w:before="300" w:line="360"/>
        <w:jc w:val="left"/>
      </w:pPr>
      <w:r>
        <w:rPr>
          <w:rFonts w:ascii="Times New Roman" w:cs="Times New Roman" w:eastAsia="Times New Roman" w:hAnsi="Times New Roman"/>
          <w:b/>
          <w:bCs/>
          <w:sz w:val="23"/>
          <w:szCs w:val="23"/>
        </w:rPr>
        <w:t xml:space="preserve">Riesgo fiscal</w:t>
      </w:r>
    </w:p>
    <w:p>
      <w:pPr>
        <w:spacing w:after="140" w:line="360"/>
        <w:jc w:val="both"/>
      </w:pPr>
      <w:r>
        <w:rPr>
          <w:rFonts w:ascii="Times New Roman" w:cs="Times New Roman" w:eastAsia="Times New Roman" w:hAnsi="Times New Roman"/>
          <w:sz w:val="24"/>
          <w:szCs w:val="24"/>
        </w:rPr>
        <w:t xml:space="preserve">Salvaguardas: prohibición de compra, garantía o compensación de cartera; tasa sectorial sólo para administración.</w:t>
      </w:r>
    </w:p>
    <w:p>
      <w:pPr>
        <w:keepNext/>
        <w:spacing w:after="160" w:before="300" w:line="360"/>
        <w:jc w:val="left"/>
      </w:pPr>
      <w:r>
        <w:rPr>
          <w:rFonts w:ascii="Times New Roman" w:cs="Times New Roman" w:eastAsia="Times New Roman" w:hAnsi="Times New Roman"/>
          <w:b/>
          <w:bCs/>
          <w:sz w:val="23"/>
          <w:szCs w:val="23"/>
        </w:rPr>
        <w:t xml:space="preserve">Riesgo constitucional</w:t>
      </w:r>
    </w:p>
    <w:p>
      <w:pPr>
        <w:spacing w:after="140" w:line="360"/>
        <w:jc w:val="both"/>
      </w:pPr>
      <w:r>
        <w:rPr>
          <w:rFonts w:ascii="Times New Roman" w:cs="Times New Roman" w:eastAsia="Times New Roman" w:hAnsi="Times New Roman"/>
          <w:sz w:val="24"/>
          <w:szCs w:val="24"/>
        </w:rPr>
        <w:t xml:space="preserve">Salvaguardas: control judicial, preservación de garantías, emergencia temporal, no retroactividad sobre actos agotados, proporcionalidad y debido proceso.</w:t>
      </w:r>
    </w:p>
    <w:p>
      <w:pPr>
        <w:keepNext/>
        <w:spacing w:after="160" w:before="300" w:line="360"/>
        <w:jc w:val="left"/>
      </w:pPr>
      <w:r>
        <w:rPr>
          <w:rFonts w:ascii="Times New Roman" w:cs="Times New Roman" w:eastAsia="Times New Roman" w:hAnsi="Times New Roman"/>
          <w:b/>
          <w:bCs/>
          <w:sz w:val="23"/>
          <w:szCs w:val="23"/>
        </w:rPr>
        <w:t xml:space="preserve">Riesgo de estigma y abuso de datos</w:t>
      </w:r>
    </w:p>
    <w:p>
      <w:pPr>
        <w:spacing w:after="140" w:line="360"/>
        <w:jc w:val="both"/>
      </w:pPr>
      <w:r>
        <w:rPr>
          <w:rFonts w:ascii="Times New Roman" w:cs="Times New Roman" w:eastAsia="Times New Roman" w:hAnsi="Times New Roman"/>
          <w:sz w:val="24"/>
          <w:szCs w:val="24"/>
        </w:rPr>
        <w:t xml:space="preserve">Salvaguardas: reporte exacto durante el plan, supresión al extinguirse la deuda, registro reservado, minimización y revisión humana.</w:t>
      </w:r>
    </w:p>
    <w:p>
      <w:pPr>
        <w:keepNext/>
        <w:spacing w:after="160" w:before="300" w:line="360"/>
        <w:jc w:val="left"/>
      </w:pPr>
      <w:r>
        <w:rPr>
          <w:rFonts w:ascii="Times New Roman" w:cs="Times New Roman" w:eastAsia="Times New Roman" w:hAnsi="Times New Roman"/>
          <w:b/>
          <w:bCs/>
          <w:sz w:val="24"/>
          <w:szCs w:val="24"/>
        </w:rPr>
        <w:t xml:space="preserve">XIV. Por qué el reclamo es justo</w:t>
      </w:r>
    </w:p>
    <w:p>
      <w:pPr>
        <w:spacing w:after="140" w:line="360"/>
        <w:jc w:val="both"/>
      </w:pPr>
      <w:r>
        <w:rPr>
          <w:rFonts w:ascii="Times New Roman" w:cs="Times New Roman" w:eastAsia="Times New Roman" w:hAnsi="Times New Roman"/>
          <w:sz w:val="24"/>
          <w:szCs w:val="24"/>
        </w:rPr>
        <w:t xml:space="preserve">Es justo para el hogar porque ninguna deuda de consumo debe exigir hambre, pérdida de vivienda, medicación o una nueva deuda para pagar la anterior.</w:t>
      </w:r>
    </w:p>
    <w:p>
      <w:pPr>
        <w:spacing w:after="140" w:line="360"/>
        <w:jc w:val="both"/>
      </w:pPr>
      <w:r>
        <w:rPr>
          <w:rFonts w:ascii="Times New Roman" w:cs="Times New Roman" w:eastAsia="Times New Roman" w:hAnsi="Times New Roman"/>
          <w:sz w:val="24"/>
          <w:szCs w:val="24"/>
        </w:rPr>
        <w:t xml:space="preserve">Es justo para el acreedor diligente porque conserva el capital legítimo, participa en un plan global y puede recibir más que en la ejecución fragmentada o insolvencia tardía.</w:t>
      </w:r>
    </w:p>
    <w:p>
      <w:pPr>
        <w:spacing w:after="140" w:line="360"/>
        <w:jc w:val="both"/>
      </w:pPr>
      <w:r>
        <w:rPr>
          <w:rFonts w:ascii="Times New Roman" w:cs="Times New Roman" w:eastAsia="Times New Roman" w:hAnsi="Times New Roman"/>
          <w:sz w:val="24"/>
          <w:szCs w:val="24"/>
        </w:rPr>
        <w:t xml:space="preserve">Es justo para la competencia porque todos los proveedores, incluidos fintech y PNFC, quedan sometidos a las mismas obligaciones sustanciales.</w:t>
      </w:r>
    </w:p>
    <w:p>
      <w:pPr>
        <w:spacing w:after="140" w:line="360"/>
        <w:jc w:val="both"/>
      </w:pPr>
      <w:r>
        <w:rPr>
          <w:rFonts w:ascii="Times New Roman" w:cs="Times New Roman" w:eastAsia="Times New Roman" w:hAnsi="Times New Roman"/>
          <w:sz w:val="24"/>
          <w:szCs w:val="24"/>
        </w:rPr>
        <w:t xml:space="preserve">Es justo para la sociedad porque evita exclusión productiva y no usa recursos previsionales o fiscales para rescatar cartera privada.</w:t>
      </w:r>
    </w:p>
    <w:p>
      <w:pPr>
        <w:spacing w:after="140" w:line="360"/>
        <w:jc w:val="both"/>
      </w:pPr>
      <w:r>
        <w:rPr>
          <w:rFonts w:ascii="Times New Roman" w:cs="Times New Roman" w:eastAsia="Times New Roman" w:hAnsi="Times New Roman"/>
          <w:sz w:val="24"/>
          <w:szCs w:val="24"/>
        </w:rPr>
        <w:t xml:space="preserve">Es justo en derecho porque distribuye consecuencias según información, profesionalidad, conducta, capacidad y causalidad; no según poder de negociación.</w:t>
      </w:r>
    </w:p>
    <w:p>
      <w:pPr>
        <w:spacing w:after="140" w:line="360"/>
        <w:jc w:val="both"/>
      </w:pPr>
      <w:r>
        <w:rPr>
          <w:rFonts w:ascii="Times New Roman" w:cs="Times New Roman" w:eastAsia="Times New Roman" w:hAnsi="Times New Roman"/>
          <w:sz w:val="24"/>
          <w:szCs w:val="24"/>
        </w:rPr>
        <w:t xml:space="preserve">Por las razones expuestas, solicitamos la aprobación del presente proyecto.</w:t>
      </w:r>
    </w:p>
    <w:p>
      <w:pPr>
        <w:spacing w:after="0" w:before="360"/>
      </w:pPr>
      <w:r>
        <w:rPr>
          <w:rFonts w:ascii="Times New Roman" w:cs="Times New Roman" w:eastAsia="Times New Roman" w:hAnsi="Times New Roman"/>
        </w:rPr>
        <w:t xml:space="preserve"/>
      </w:r>
    </w:p>
    <w:p>
      <w:pPr>
        <w:spacing w:after="0" w:line="360"/>
        <w:jc w:val="center"/>
      </w:pPr>
      <w:r>
        <w:rPr>
          <w:rFonts w:ascii="Times New Roman" w:cs="Times New Roman" w:eastAsia="Times New Roman" w:hAnsi="Times New Roman"/>
          <w:sz w:val="24"/>
          <w:szCs w:val="24"/>
        </w:rPr>
        <w:t xml:space="preserve">_______________________________</w:t>
      </w:r>
    </w:p>
    <w:p>
      <w:pPr>
        <w:spacing w:after="0" w:line="300"/>
        <w:jc w:val="center"/>
      </w:pPr>
      <w:r>
        <w:rPr>
          <w:rFonts w:ascii="Times New Roman" w:cs="Times New Roman" w:eastAsia="Times New Roman" w:hAnsi="Times New Roman"/>
          <w:b/>
          <w:bCs/>
          <w:sz w:val="24"/>
          <w:szCs w:val="24"/>
        </w:rPr>
        <w:t xml:space="preserve">[Nombre y Apellido]</w:t>
      </w:r>
    </w:p>
    <w:p>
      <w:pPr>
        <w:spacing w:after="0" w:line="300"/>
        <w:jc w:val="center"/>
      </w:pPr>
      <w:r>
        <w:rPr>
          <w:rFonts w:ascii="Times New Roman" w:cs="Times New Roman" w:eastAsia="Times New Roman" w:hAnsi="Times New Roman"/>
          <w:sz w:val="24"/>
          <w:szCs w:val="24"/>
        </w:rPr>
        <w:t xml:space="preserve">Diputado/a de la Nación</w:t>
      </w:r>
    </w:p>
    <w:p>
      <w:pPr>
        <w:spacing w:after="120" w:line="300"/>
        <w:jc w:val="center"/>
      </w:pPr>
      <w:r>
        <w:rPr>
          <w:rFonts w:ascii="Times New Roman" w:cs="Times New Roman" w:eastAsia="Times New Roman" w:hAnsi="Times New Roman"/>
          <w:i/>
          <w:iCs/>
          <w:color w:val="555555"/>
          <w:sz w:val="22"/>
          <w:szCs w:val="22"/>
        </w:rPr>
        <w:t xml:space="preserve">[Bloque parlamentario]</w:t>
      </w:r>
    </w:p>
    <w:p>
      <w:pPr>
        <w:spacing w:after="0" w:line="300"/>
        <w:jc w:val="center"/>
      </w:pPr>
      <w:r>
        <w:rPr>
          <w:rFonts w:ascii="Times New Roman" w:cs="Times New Roman" w:eastAsia="Times New Roman" w:hAnsi="Times New Roman"/>
          <w:color w:val="555555"/>
          <w:sz w:val="22"/>
          <w:szCs w:val="22"/>
        </w:rPr>
        <w:t xml:space="preserve">Cofirmantes: __________________________________________</w:t>
      </w:r>
    </w:p>
    <w:sectPr>
      <w:headerReference w:type="default" r:id="rId7"/>
      <w:footerReference w:type="default" r:id="rId8"/>
      <w:pgSz w:w="11906" w:h="16838" w:orient="portrait"/>
      <w:pgMar w:top="1276" w:right="1418" w:bottom="1276"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8787"/>
      </w:tabs>
      <w:spacing w:before="40"/>
    </w:pPr>
    <w:r>
      <w:rPr>
        <w:rFonts w:ascii="Times New Roman" w:cs="Times New Roman" w:eastAsia="Times New Roman" w:hAnsi="Times New Roman"/>
        <w:i/>
        <w:iCs/>
        <w:color w:val="777777"/>
        <w:sz w:val="16"/>
        <w:szCs w:val="16"/>
      </w:rPr>
      <w:t xml:space="preserve">Prototipo legislativo — sujeto a revisión de técnica legislativa, constitucional y presupuestaria.</w:t>
    </w:r>
    <w:r>
      <w:rPr>
        <w:rFonts w:ascii="Times New Roman" w:cs="Times New Roman" w:eastAsia="Times New Roman" w:hAnsi="Times New Roman"/>
      </w:rPr>
      <w:t xml:space="preserve">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Times New Roman" w:cs="Times New Roman" w:eastAsia="Times New Roman" w:hAnsi="Times New Roman"/>
        <w:i/>
        <w:iCs/>
        <w:sz w:val="20"/>
        <w:szCs w:val="20"/>
      </w:rPr>
      <w:t xml:space="preserve">“2026 - Año de la Grandeza Argentina”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Ley de Protección Financiera de los Hogares</dc:title>
  <dc:creator>Proyecto de ley (formato Diputados) — expediente de trabajo</dc:creator>
  <cp:lastModifiedBy>Un-named</cp:lastModifiedBy>
  <cp:revision>1</cp:revision>
  <dcterms:created xsi:type="dcterms:W3CDTF">2026-08-30T07:35:00.881Z</dcterms:created>
  <dcterms:modified xsi:type="dcterms:W3CDTF">2026-08-30T07:35:00.882Z</dcterms:modified>
</cp:coreProperties>
</file>

<file path=docProps/custom.xml><?xml version="1.0" encoding="utf-8"?>
<Properties xmlns="http://schemas.openxmlformats.org/officeDocument/2006/custom-properties" xmlns:vt="http://schemas.openxmlformats.org/officeDocument/2006/docPropsVTypes"/>
</file>