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PROYECTO DE LEY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Régimen de Protección Financiera de los Hogares, Crédito Responsable y Segunda Oportunidad</w:t>
      </w:r>
    </w:p>
    <w:p>
      <w:pPr>
        <w:pBdr>
          <w:bottom w:val="single" w:color="888888" w:sz="6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caps/>
          <w:color w:val="444444"/>
          <w:spacing w:val="30"/>
          <w:sz w:val="24"/>
          <w:szCs w:val="24"/>
        </w:rPr>
        <w:t xml:space="preserve">RESUMEN EJECUTIVO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Qué crea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propuesta establece una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Ley de Protección Financiera de los Hogares, Crédito Responsable y Segunda Oportunidad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tres capas: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reglas permanentes para que el crédito nazca pagable;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un procedimiento administrativo y judicial para reestructurar todo el pasivo del hogar; y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una ventana transitoria de veinticuatro meses para deudas originadas, ampliadas o refinanciadas desde el 1° de enero de 2023.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Qué recibe una familia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Una auditoría gratuita del saldo: capital, pagos, intereses, cargos, seguros y cesiones.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Suspensión de punitorios, cobranzas y acciones mientras se negocia, con control judicial cuando corresponde.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Una cuota total que no supera el menor entre 20 % del ingreso neto y 70 % del excedente sobre el mínimo vital.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En vulnerabilidad, topes de 15 % y 60 %.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Cien por ciento de condonación de punitorios y cargos automáticos de cobranza en el régimen transitorio.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Hasta noventa días de gracia y sesenta cuotas, sin comisión de adhesión ni saldo globo.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Una negociación con todos los acreedores y un pago integral sostenible.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Acceso a un juez si no hay acuerdo o si materialmente no existe capacidad de pago.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Exoneración del pasivo remanente luego de un plan, liquidación excepcional o trámite sin activos, si hubo buena fe.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Protección del trato digno, vivienda, herramientas de trabajo, datos y servicios esenciales.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Qué cambia para quien presta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Debe evaluar ingresos, gastos esenciales, hogar y deudas totales antes de prestar.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El servicio de deuda de consumo nuevo no puede superar 25 % del ingreso ni 60 % del excedente sobre el mínimo vital.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Debe informar CFTEA, monto total, efecto del pago mínimo y comparación con operaciones similares.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El CFTEA no puede superar 1,5 veces la mediana de operaciones comparables.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Un algoritmo no puede ser una caja negra: hay explicación, corrección y revisión humana.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Si el préstamo fue irresponsable, puede perder cargos e intereses; sólo un juez puede reducir capital según gravedad y causalidad.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Debe comparecer, documentar la deuda y negociar de buena fe.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Qué no hace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perdona automáticamente capital por estar en mora.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obliga a usar ANSES como cobrador.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compra deudas con Tesoro, BCRA, FGS o bancos públicos.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compensa a privados por bajar tasas ni garantiza incobrables.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borra falsamente la situación durante el plan: la identifica como reestructurada y en cumplimiento.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No atribuye toda la mora a una sola causa ni presume abuso de todas las entidades.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Por qué desde 2023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serie bancaria pasa de 2,70 % de mora de hogares en noviembre de 2023 a 12,80 % en mayo de 2026. Personales y tarjetas pasan de 2,39 % a 14,52 %. La mora PNFC llega a 26,9 % en febrero de 2026 y a 34,1 % en sus préstamos personales.</w:t>
      </w:r>
    </w:p>
    <w:p>
      <w:pPr>
        <w:spacing w:after="14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fecha funciona como delimitación objetiva de una cohorte de crisis, no como condena política ni prueba causal. Los actos ya agotados conservan su ley; el régimen regula saldos pendientes, mora futura y procedimientos.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Por qué es más defendible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La administración concilia y homologa lo consentido; un juez decide sobre disidentes, capital, vivienda y exoneración.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El acreedor conserva el capital legítimo salvo acuerdo, préstamo irresponsable probado o insolvencia judicial.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La cuota surge de una fórmula pública, revisable y ligada a la subsistencia.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La emergencia tiene plazo y sólo el Congreso puede prorrogarla.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La segunda oportunidad se apoya en la atribución nacional de legislar sobre bancarrotas y respeta la organización procesal local.</w:t>
      </w:r>
    </w:p>
    <w:p>
      <w:pPr>
        <w:keepNext/>
        <w:spacing w:after="100" w:before="240" w:line="34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Archivos clave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Proyecto completo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Fundamentos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Diagnóstico 2023–2026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Método de capacidad de pago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Matriz de expedientes</w:t>
      </w:r>
    </w:p>
    <w:p>
      <w:pPr>
        <w:spacing w:after="90" w:line="340"/>
        <w:ind w:left="709" w:hanging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Marco jurídico y comparado</w:t>
      </w:r>
    </w:p>
    <w:sectPr>
      <w:headerReference w:type="default" r:id="rId7"/>
      <w:footerReference w:type="default" r:id="rId8"/>
      <w:pgSz w:w="11906" w:h="16838" w:orient="portrait"/>
      <w:pgMar w:top="1276" w:right="1418" w:bottom="1276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tabs>
        <w:tab w:val="right" w:pos="8787"/>
      </w:tabs>
      <w:spacing w:before="40"/>
    </w:pPr>
    <w:r>
      <w:rPr>
        <w:rFonts w:ascii="Times New Roman" w:cs="Times New Roman" w:eastAsia="Times New Roman" w:hAnsi="Times New Roman"/>
        <w:i/>
        <w:iCs/>
        <w:color w:val="777777"/>
        <w:sz w:val="16"/>
        <w:szCs w:val="16"/>
      </w:rPr>
      <w:t xml:space="preserve">Prototipo legislativo — sujeto a revisión de técnica legislativa, constitucional y presupuestaria.</w:t>
    </w:r>
    <w:r>
      <w:rPr>
        <w:rFonts w:ascii="Times New Roman" w:cs="Times New Roman" w:eastAsia="Times New Roman" w:hAnsi="Times New Roman"/>
      </w:rPr>
      <w:t xml:space="preserve">	</w:t>
    </w: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“2026 - Año de la Grandeza Argentina”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 — Proyecto de Ley de Protección Financiera de los Hogares</dc:title>
  <dc:creator>Resumen ejecutivo (formato Diputados) — expediente de trabajo</dc:creator>
  <cp:lastModifiedBy>Un-named</cp:lastModifiedBy>
  <cp:revision>1</cp:revision>
  <dcterms:created xsi:type="dcterms:W3CDTF">2026-08-30T07:35:27.263Z</dcterms:created>
  <dcterms:modified xsi:type="dcterms:W3CDTF">2026-08-30T07:35:27.264Z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