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360"/>
        <w:jc w:val="center"/>
      </w:pPr>
      <w:r>
        <w:rPr>
          <w:rFonts w:ascii="Times New Roman" w:cs="Times New Roman" w:eastAsia="Times New Roman" w:hAnsi="Times New Roman"/>
          <w:b/>
          <w:bCs/>
          <w:sz w:val="30"/>
          <w:szCs w:val="30"/>
        </w:rPr>
        <w:t xml:space="preserve">DEMANDA DE ACCIÓN COLECTIVA DE CONSUMO</w:t>
      </w:r>
    </w:p>
    <w:p>
      <w:pPr>
        <w:spacing w:after="40" w:line="360"/>
        <w:jc w:val="both"/>
      </w:pPr>
      <w:r>
        <w:rPr>
          <w:rFonts w:ascii="Times New Roman" w:cs="Times New Roman" w:eastAsia="Times New Roman" w:hAnsi="Times New Roman"/>
          <w:b/>
          <w:bCs/>
        </w:rPr>
        <w:t xml:space="preserve">Versión:</w:t>
      </w:r>
      <w:r>
        <w:rPr>
          <w:rFonts w:ascii="Times New Roman" w:cs="Times New Roman" w:eastAsia="Times New Roman" w:hAnsi="Times New Roman"/>
        </w:rPr>
        <w:t xml:space="preserve"> V1.0 — escrito de inicio (prototipo forense derivado del Manuscrito V0.7)</w:t>
      </w:r>
    </w:p>
    <w:p>
      <w:pPr>
        <w:spacing w:after="40" w:line="360"/>
        <w:jc w:val="both"/>
      </w:pPr>
      <w:r>
        <w:rPr>
          <w:rFonts w:ascii="Times New Roman" w:cs="Times New Roman" w:eastAsia="Times New Roman" w:hAnsi="Times New Roman"/>
          <w:b/>
          <w:bCs/>
        </w:rPr>
        <w:t xml:space="preserve">Fecha de elaboración:</w:t>
      </w:r>
      <w:r>
        <w:rPr>
          <w:rFonts w:ascii="Times New Roman" w:cs="Times New Roman" w:eastAsia="Times New Roman" w:hAnsi="Times New Roman"/>
        </w:rPr>
        <w:t xml:space="preserve"> 30 de agosto de 2026</w:t>
      </w:r>
    </w:p>
    <w:p>
      <w:pPr>
        <w:spacing w:after="40" w:line="360"/>
        <w:jc w:val="both"/>
      </w:pPr>
      <w:r>
        <w:rPr>
          <w:rFonts w:ascii="Times New Roman" w:cs="Times New Roman" w:eastAsia="Times New Roman" w:hAnsi="Times New Roman"/>
          <w:b/>
          <w:bCs/>
        </w:rPr>
        <w:t xml:space="preserve">Período reclamado:</w:t>
      </w:r>
      <w:r>
        <w:rPr>
          <w:rFonts w:ascii="Times New Roman" w:cs="Times New Roman" w:eastAsia="Times New Roman" w:hAnsi="Times New Roman"/>
        </w:rPr>
        <w:t xml:space="preserve"> 1 de enero de 2023 hasta la fecha de corte de la clase</w:t>
      </w:r>
    </w:p>
    <w:p>
      <w:pPr>
        <w:spacing w:after="160" w:line="360"/>
        <w:jc w:val="both"/>
      </w:pPr>
      <w:r>
        <w:rPr>
          <w:rFonts w:ascii="Times New Roman" w:cs="Times New Roman" w:eastAsia="Times New Roman" w:hAnsi="Times New Roman"/>
          <w:b/>
          <w:bCs/>
        </w:rPr>
        <w:t xml:space="preserve">Objeto material:</w:t>
      </w:r>
      <w:r>
        <w:rPr>
          <w:rFonts w:ascii="Times New Roman" w:cs="Times New Roman" w:eastAsia="Times New Roman" w:hAnsi="Times New Roman"/>
        </w:rPr>
        <w:t xml:space="preserve"> préstamos personales y demás financiaciones bancarias otorgadas a personas consumidoras</w:t>
      </w:r>
    </w:p>
    <w:p>
      <w:pPr>
        <w:pBdr>
          <w:left w:val="single" w:color="555555" w:sz="12" w:space="12"/>
        </w:pBdr>
        <w:spacing w:after="160" w:before="80" w:line="360"/>
        <w:ind w:left="720" w:right="360"/>
        <w:jc w:val="both"/>
      </w:pPr>
      <w:r>
        <w:rPr>
          <w:rFonts w:ascii="Times New Roman" w:cs="Times New Roman" w:eastAsia="Times New Roman" w:hAnsi="Times New Roman"/>
          <w:i/>
          <w:iCs/>
        </w:rPr>
        <w:t xml:space="preserve">Nota de uso (no forma parte del escrito). Este documento reorganiza el material del Manuscrito V0.7 con la estructura, el registro y la técnica de un escrito judicial argentino. Es un modelo de trabajo que debe ser revisado, completado y firmado por abogado/a matriculado/a antes de cualquier presentación. Los campos entre corchetes [●] requieren integración con datos reales (actor legitimado, entidades demandadas, jurisdicción, casos testigo, patrocinio). El universo histórico de investigación (desde enero de 2023) no equivale al período patrimonialmente reclamable: cada remedio y cohorte se rige por su propia regla de exigibilidad y prescripción. Cada afirmación se formula distinguiendo el hecho observado, el cálculo verificable, la inferencia, la hipótesis a probar y la conclusión reservada al tribunal.</w:t>
      </w:r>
    </w:p>
    <w:p>
      <w:pPr>
        <w:pBdr>
          <w:bottom w:val="single" w:color="888888" w:sz="6" w:space="4"/>
        </w:pBdr>
        <w:spacing w:after="120" w:before="80"/>
      </w:pPr>
      <w:r>
        <w:rPr>
          <w:rFonts w:ascii="Times New Roman" w:cs="Times New Roman" w:eastAsia="Times New Roman" w:hAnsi="Times New Roman"/>
        </w:rPr>
        <w:t xml:space="preserve"/>
      </w:r>
    </w:p>
    <w:p>
      <w:pPr>
        <w:spacing w:after="100" w:before="0" w:line="360"/>
        <w:jc w:val="center"/>
      </w:pPr>
      <w:r>
        <w:rPr>
          <w:rFonts w:ascii="Times New Roman" w:cs="Times New Roman" w:eastAsia="Times New Roman" w:hAnsi="Times New Roman"/>
          <w:b/>
          <w:bCs/>
          <w:sz w:val="24"/>
          <w:szCs w:val="24"/>
        </w:rPr>
        <w:t xml:space="preserve">SUMA</w:t>
      </w:r>
    </w:p>
    <w:p>
      <w:pPr>
        <w:spacing w:after="160" w:line="360"/>
        <w:jc w:val="both"/>
      </w:pPr>
      <w:r>
        <w:rPr>
          <w:rFonts w:ascii="Times New Roman" w:cs="Times New Roman" w:eastAsia="Times New Roman" w:hAnsi="Times New Roman"/>
          <w:b/>
          <w:bCs/>
        </w:rPr>
        <w:t xml:space="preserve">PROMUEVE ACCIÓN COLECTIVA DE CONSUMO EN DEFENSA DE DERECHOS INDIVIDUALES HOMOGÉNEOS.</w:t>
      </w:r>
      <w:r>
        <w:rPr>
          <w:rFonts w:ascii="Times New Roman" w:cs="Times New Roman" w:eastAsia="Times New Roman" w:hAnsi="Times New Roman"/>
        </w:rPr>
        <w:t xml:space="preserve"> SOLICITA CERTIFICACIÓN DE LA CLASE Y SUBCLASES. DENUNCIA Y REQUIERE INSCRIPCIÓN EN EL REGISTRO PÚBLICO DE PROCESOS COLECTIVOS. SOLICITA MEDIDAS CAUTELARES Y DE TUTELA PREVENTIVA. SOLICITA MEDIDAS DE PRESERVACIÓN Y EXHIBICIÓN DE PRUEBA. OFRECE PRUEBA. SOLICITA INTERVENCIÓN DEL MINISTERIO PÚBLICO FISCAL. HACE RESERVA DE REMISIÓN DE ANTECEDENTES PENALES. FORMULA RESERVA DEL CASO FEDERAL.</w:t>
      </w:r>
    </w:p>
    <w:p>
      <w:pPr>
        <w:pBdr>
          <w:bottom w:val="single" w:color="888888" w:sz="6" w:space="4"/>
        </w:pBdr>
        <w:spacing w:after="120" w:before="80"/>
      </w:pPr>
      <w:r>
        <w:rPr>
          <w:rFonts w:ascii="Times New Roman" w:cs="Times New Roman" w:eastAsia="Times New Roman" w:hAnsi="Times New Roman"/>
        </w:rPr>
        <w:t xml:space="preserve"/>
      </w:r>
    </w:p>
    <w:p>
      <w:pPr>
        <w:spacing w:after="160" w:line="360"/>
        <w:jc w:val="both"/>
      </w:pPr>
      <w:r>
        <w:rPr>
          <w:rFonts w:ascii="Times New Roman" w:cs="Times New Roman" w:eastAsia="Times New Roman" w:hAnsi="Times New Roman"/>
          <w:b/>
          <w:bCs/>
        </w:rPr>
        <w:t xml:space="preserve">SEÑOR/A JUEZ/A [FUERO Y JURISDICCIÓN]:</w:t>
      </w:r>
    </w:p>
    <w:p>
      <w:pPr>
        <w:spacing w:after="160" w:line="360"/>
        <w:jc w:val="both"/>
      </w:pPr>
      <w:r>
        <w:rPr>
          <w:rFonts w:ascii="Times New Roman" w:cs="Times New Roman" w:eastAsia="Times New Roman" w:hAnsi="Times New Roman"/>
          <w:b/>
          <w:bCs/>
        </w:rPr>
        <w:t xml:space="preserve">[NOMBRE Y APELLIDO]</w:t>
      </w:r>
      <w:r>
        <w:rPr>
          <w:rFonts w:ascii="Times New Roman" w:cs="Times New Roman" w:eastAsia="Times New Roman" w:hAnsi="Times New Roman"/>
        </w:rPr>
        <w:t xml:space="preserve">, DNI </w:t>
      </w:r>
      <w:r>
        <w:rPr>
          <w:rFonts w:ascii="Times New Roman" w:cs="Times New Roman" w:eastAsia="Times New Roman" w:hAnsi="Times New Roman"/>
          <w:b/>
          <w:bCs/>
        </w:rPr>
        <w:t xml:space="preserve">[●]</w:t>
      </w:r>
      <w:r>
        <w:rPr>
          <w:rFonts w:ascii="Times New Roman" w:cs="Times New Roman" w:eastAsia="Times New Roman" w:hAnsi="Times New Roman"/>
        </w:rPr>
        <w:t xml:space="preserve">, en mi carácter de </w:t>
      </w:r>
      <w:r>
        <w:rPr>
          <w:rFonts w:ascii="Times New Roman" w:cs="Times New Roman" w:eastAsia="Times New Roman" w:hAnsi="Times New Roman"/>
          <w:b/>
          <w:bCs/>
        </w:rPr>
        <w:t xml:space="preserve">[presidente / apoderado/a]</w:t>
      </w:r>
      <w:r>
        <w:rPr>
          <w:rFonts w:ascii="Times New Roman" w:cs="Times New Roman" w:eastAsia="Times New Roman" w:hAnsi="Times New Roman"/>
        </w:rPr>
        <w:t xml:space="preserve"> de </w:t>
      </w:r>
      <w:r>
        <w:rPr>
          <w:rFonts w:ascii="Times New Roman" w:cs="Times New Roman" w:eastAsia="Times New Roman" w:hAnsi="Times New Roman"/>
          <w:b/>
          <w:bCs/>
        </w:rPr>
        <w:t xml:space="preserve">[ASOCIACIÓN DE CONSUMIDORES / DEFENSORÍA / AUTORIDAD LEGITIMADA]</w:t>
      </w:r>
      <w:r>
        <w:rPr>
          <w:rFonts w:ascii="Times New Roman" w:cs="Times New Roman" w:eastAsia="Times New Roman" w:hAnsi="Times New Roman"/>
        </w:rPr>
        <w:t xml:space="preserve">, inscripta en el Registro Nacional de Asociaciones de Consumidores bajo el N° </w:t>
      </w:r>
      <w:r>
        <w:rPr>
          <w:rFonts w:ascii="Times New Roman" w:cs="Times New Roman" w:eastAsia="Times New Roman" w:hAnsi="Times New Roman"/>
          <w:b/>
          <w:bCs/>
        </w:rPr>
        <w:t xml:space="preserve">[●]</w:t>
      </w:r>
      <w:r>
        <w:rPr>
          <w:rFonts w:ascii="Times New Roman" w:cs="Times New Roman" w:eastAsia="Times New Roman" w:hAnsi="Times New Roman"/>
        </w:rPr>
        <w:t xml:space="preserve"> y en </w:t>
      </w:r>
      <w:r>
        <w:rPr>
          <w:rFonts w:ascii="Times New Roman" w:cs="Times New Roman" w:eastAsia="Times New Roman" w:hAnsi="Times New Roman"/>
          <w:b/>
          <w:bCs/>
        </w:rPr>
        <w:t xml:space="preserve">[registro provincial que corresponda]</w:t>
      </w:r>
      <w:r>
        <w:rPr>
          <w:rFonts w:ascii="Times New Roman" w:cs="Times New Roman" w:eastAsia="Times New Roman" w:hAnsi="Times New Roman"/>
        </w:rPr>
        <w:t xml:space="preserve">, CUIT </w:t>
      </w:r>
      <w:r>
        <w:rPr>
          <w:rFonts w:ascii="Times New Roman" w:cs="Times New Roman" w:eastAsia="Times New Roman" w:hAnsi="Times New Roman"/>
          <w:b/>
          <w:bCs/>
        </w:rPr>
        <w:t xml:space="preserve">[●]</w:t>
      </w:r>
      <w:r>
        <w:rPr>
          <w:rFonts w:ascii="Times New Roman" w:cs="Times New Roman" w:eastAsia="Times New Roman" w:hAnsi="Times New Roman"/>
        </w:rPr>
        <w:t xml:space="preserve">, con domicilio real y sede social en </w:t>
      </w:r>
      <w:r>
        <w:rPr>
          <w:rFonts w:ascii="Times New Roman" w:cs="Times New Roman" w:eastAsia="Times New Roman" w:hAnsi="Times New Roman"/>
          <w:b/>
          <w:bCs/>
        </w:rPr>
        <w:t xml:space="preserve">[●]</w:t>
      </w:r>
      <w:r>
        <w:rPr>
          <w:rFonts w:ascii="Times New Roman" w:cs="Times New Roman" w:eastAsia="Times New Roman" w:hAnsi="Times New Roman"/>
        </w:rPr>
        <w:t xml:space="preserve">, personería que acredito con </w:t>
      </w:r>
      <w:r>
        <w:rPr>
          <w:rFonts w:ascii="Times New Roman" w:cs="Times New Roman" w:eastAsia="Times New Roman" w:hAnsi="Times New Roman"/>
          <w:b/>
          <w:bCs/>
        </w:rPr>
        <w:t xml:space="preserve">[copia del estatuto, acta de designación de autoridades y constancia de inscripción vigente que acompaño como Documental A-1]</w:t>
      </w:r>
      <w:r>
        <w:rPr>
          <w:rFonts w:ascii="Times New Roman" w:cs="Times New Roman" w:eastAsia="Times New Roman" w:hAnsi="Times New Roman"/>
        </w:rPr>
        <w:t xml:space="preserve">; constituyendo domicilio procesal en </w:t>
      </w:r>
      <w:r>
        <w:rPr>
          <w:rFonts w:ascii="Times New Roman" w:cs="Times New Roman" w:eastAsia="Times New Roman" w:hAnsi="Times New Roman"/>
          <w:b/>
          <w:bCs/>
        </w:rPr>
        <w:t xml:space="preserve">[●]</w:t>
      </w:r>
      <w:r>
        <w:rPr>
          <w:rFonts w:ascii="Times New Roman" w:cs="Times New Roman" w:eastAsia="Times New Roman" w:hAnsi="Times New Roman"/>
        </w:rPr>
        <w:t xml:space="preserve"> y domicilio electrónico en </w:t>
      </w:r>
      <w:r>
        <w:rPr>
          <w:rFonts w:ascii="Times New Roman" w:cs="Times New Roman" w:eastAsia="Times New Roman" w:hAnsi="Times New Roman"/>
          <w:b/>
          <w:bCs/>
        </w:rPr>
        <w:t xml:space="preserve">[●]</w:t>
      </w:r>
      <w:r>
        <w:rPr>
          <w:rFonts w:ascii="Times New Roman" w:cs="Times New Roman" w:eastAsia="Times New Roman" w:hAnsi="Times New Roman"/>
        </w:rPr>
        <w:t xml:space="preserve">; con el patrocinio letrado del/de la </w:t>
      </w:r>
      <w:r>
        <w:rPr>
          <w:rFonts w:ascii="Times New Roman" w:cs="Times New Roman" w:eastAsia="Times New Roman" w:hAnsi="Times New Roman"/>
          <w:b/>
          <w:bCs/>
        </w:rPr>
        <w:t xml:space="preserve">Dr./Dra. [●]</w:t>
      </w:r>
      <w:r>
        <w:rPr>
          <w:rFonts w:ascii="Times New Roman" w:cs="Times New Roman" w:eastAsia="Times New Roman" w:hAnsi="Times New Roman"/>
        </w:rPr>
        <w:t xml:space="preserve">, T° </w:t>
      </w:r>
      <w:r>
        <w:rPr>
          <w:rFonts w:ascii="Times New Roman" w:cs="Times New Roman" w:eastAsia="Times New Roman" w:hAnsi="Times New Roman"/>
          <w:b/>
          <w:bCs/>
        </w:rPr>
        <w:t xml:space="preserve">[●]</w:t>
      </w:r>
      <w:r>
        <w:rPr>
          <w:rFonts w:ascii="Times New Roman" w:cs="Times New Roman" w:eastAsia="Times New Roman" w:hAnsi="Times New Roman"/>
        </w:rPr>
        <w:t xml:space="preserve"> F° </w:t>
      </w:r>
      <w:r>
        <w:rPr>
          <w:rFonts w:ascii="Times New Roman" w:cs="Times New Roman" w:eastAsia="Times New Roman" w:hAnsi="Times New Roman"/>
          <w:b/>
          <w:bCs/>
        </w:rPr>
        <w:t xml:space="preserve">[●]</w:t>
      </w:r>
      <w:r>
        <w:rPr>
          <w:rFonts w:ascii="Times New Roman" w:cs="Times New Roman" w:eastAsia="Times New Roman" w:hAnsi="Times New Roman"/>
        </w:rPr>
        <w:t xml:space="preserve"> del </w:t>
      </w:r>
      <w:r>
        <w:rPr>
          <w:rFonts w:ascii="Times New Roman" w:cs="Times New Roman" w:eastAsia="Times New Roman" w:hAnsi="Times New Roman"/>
          <w:b/>
          <w:bCs/>
        </w:rPr>
        <w:t xml:space="preserve">[Colegio / CPACF]</w:t>
      </w:r>
      <w:r>
        <w:rPr>
          <w:rFonts w:ascii="Times New Roman" w:cs="Times New Roman" w:eastAsia="Times New Roman" w:hAnsi="Times New Roman"/>
        </w:rPr>
        <w:t xml:space="preserve">, CUIT </w:t>
      </w:r>
      <w:r>
        <w:rPr>
          <w:rFonts w:ascii="Times New Roman" w:cs="Times New Roman" w:eastAsia="Times New Roman" w:hAnsi="Times New Roman"/>
          <w:b/>
          <w:bCs/>
        </w:rPr>
        <w:t xml:space="preserve">[●]</w:t>
      </w:r>
      <w:r>
        <w:rPr>
          <w:rFonts w:ascii="Times New Roman" w:cs="Times New Roman" w:eastAsia="Times New Roman" w:hAnsi="Times New Roman"/>
        </w:rPr>
        <w:t xml:space="preserve">; en representación de la clase y subclases definidas en el Capítulo V; a V.S. respetuosamente decimos:</w:t>
      </w:r>
    </w:p>
    <w:p>
      <w:pPr>
        <w:pStyle w:val="Heading1"/>
        <w:keepNext/>
        <w:spacing w:after="160" w:before="320" w:line="360"/>
      </w:pPr>
      <w:r>
        <w:rPr>
          <w:rFonts w:ascii="Times New Roman" w:cs="Times New Roman" w:eastAsia="Times New Roman" w:hAnsi="Times New Roman"/>
          <w:b/>
          <w:bCs/>
          <w:sz w:val="26"/>
          <w:szCs w:val="26"/>
        </w:rPr>
        <w:t xml:space="preserve">I. OBJETO</w:t>
      </w:r>
    </w:p>
    <w:p>
      <w:pPr>
        <w:spacing w:after="160" w:line="360"/>
        <w:jc w:val="both"/>
      </w:pPr>
      <w:r>
        <w:rPr>
          <w:rFonts w:ascii="Times New Roman" w:cs="Times New Roman" w:eastAsia="Times New Roman" w:hAnsi="Times New Roman"/>
        </w:rPr>
        <w:t xml:space="preserve">Venimos a promover </w:t>
      </w:r>
      <w:r>
        <w:rPr>
          <w:rFonts w:ascii="Times New Roman" w:cs="Times New Roman" w:eastAsia="Times New Roman" w:hAnsi="Times New Roman"/>
          <w:b/>
          <w:bCs/>
        </w:rPr>
        <w:t xml:space="preserve">acción colectiva de consumo</w:t>
      </w:r>
      <w:r>
        <w:rPr>
          <w:rFonts w:ascii="Times New Roman" w:cs="Times New Roman" w:eastAsia="Times New Roman" w:hAnsi="Times New Roman"/>
        </w:rPr>
        <w:t xml:space="preserve"> en tutela de derechos de incidencia colectiva referentes a intereses individuales homogéneos de las personas consumidoras integrantes de la clase, contra </w:t>
      </w:r>
      <w:r>
        <w:rPr>
          <w:rFonts w:ascii="Times New Roman" w:cs="Times New Roman" w:eastAsia="Times New Roman" w:hAnsi="Times New Roman"/>
          <w:b/>
          <w:bCs/>
        </w:rPr>
        <w:t xml:space="preserve">[BANCO O BANCOS IDENTIFICADOS, CUIT Y DOMICILIO]</w:t>
      </w:r>
      <w:r>
        <w:rPr>
          <w:rFonts w:ascii="Times New Roman" w:cs="Times New Roman" w:eastAsia="Times New Roman" w:hAnsi="Times New Roman"/>
        </w:rPr>
        <w:t xml:space="preserve"> (en adelante, «la/s demandada/s»), con fundamento en los artículos 42 y 43 de la Constitución Nacional; 1, 2, 3, 4, 8 bis, 36, 37, 38, 53, 54 y 55 de la Ley 24.240 de Defensa del Consumidor (LDC); 1, 2, 3, 7, 9, 10, 11, 12, 770, 771, 984 a 989, 1092 a 1122 y 1384 a 1389 del Código Civil y Comercial de la Nación (CCyC); las Comunicaciones y textos ordenados del Banco Central de la República Argentina (BCRA) aplicables a cada cohorte; las Acordadas CSJN 32/2014 y 12/2016; y la doctrina de la Corte Suprema de Justicia de la Nación que se cita, a fin de que V.S.:</w:t>
      </w:r>
    </w:p>
    <w:p>
      <w:pPr>
        <w:spacing w:after="140" w:line="360"/>
        <w:ind w:left="720" w:hanging="36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Declare la nulidad, ineficacia o carácter no escrito</w:t>
      </w:r>
      <w:r>
        <w:rPr>
          <w:rFonts w:ascii="Times New Roman" w:cs="Times New Roman" w:eastAsia="Times New Roman" w:hAnsi="Times New Roman"/>
        </w:rPr>
        <w:t xml:space="preserve"> de las cláusulas predispuestas y estandarizadas que omitan o informen de manera incorrecta, tardía o inintelegible la Tasa Efectiva Anual (TEA), el Costo Financiero Total (CFT/CFTEA), los cargos, seguros, comisiones, el sistema de amortización o la totalidad de los pagos a cargo del consumidor;</w:t>
      </w:r>
    </w:p>
    <w:p>
      <w:pPr>
        <w:spacing w:after="140" w:line="360"/>
        <w:ind w:left="720" w:hanging="360"/>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Tenga por no escritos y ordene el cese del cobro</w:t>
      </w:r>
      <w:r>
        <w:rPr>
          <w:rFonts w:ascii="Times New Roman" w:cs="Times New Roman" w:eastAsia="Times New Roman" w:hAnsi="Times New Roman"/>
        </w:rPr>
        <w:t xml:space="preserve"> de los cargos, comisiones, seguros o conceptos no previstos, no informados dentro del CFT, duplicados o correspondientes a servicios no prestados;</w:t>
      </w:r>
    </w:p>
    <w:p>
      <w:pPr>
        <w:spacing w:after="140" w:line="360"/>
        <w:ind w:left="720" w:hanging="360"/>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Determine, mediante pericia económica, financiera, actuarial y contable</w:t>
      </w:r>
      <w:r>
        <w:rPr>
          <w:rFonts w:ascii="Times New Roman" w:cs="Times New Roman" w:eastAsia="Times New Roman" w:hAnsi="Times New Roman"/>
        </w:rPr>
        <w:t xml:space="preserve">, si las tasas de interés y la capitalización aplicadas por la/s demandada/s excedieron, sin justificación y desproporcionadamente, el costo medio del dinero para deudores y operaciones comparables en el lugar de contratación (art. 771 CCyC);</w:t>
      </w:r>
    </w:p>
    <w:p>
      <w:pPr>
        <w:spacing w:after="140" w:line="360"/>
        <w:ind w:left="720" w:hanging="360"/>
        <w:jc w:val="both"/>
      </w:pPr>
      <w:r>
        <w:rPr>
          <w:rFonts w:ascii="Times New Roman" w:cs="Times New Roman" w:eastAsia="Times New Roman" w:hAnsi="Times New Roman"/>
        </w:rPr>
        <w:t xml:space="preserve">4. </w:t>
      </w:r>
      <w:r>
        <w:rPr>
          <w:rFonts w:ascii="Times New Roman" w:cs="Times New Roman" w:eastAsia="Times New Roman" w:hAnsi="Times New Roman"/>
          <w:b/>
          <w:bCs/>
        </w:rPr>
        <w:t xml:space="preserve">Reduzca judicialmente los intereses</w:t>
      </w:r>
      <w:r>
        <w:rPr>
          <w:rFonts w:ascii="Times New Roman" w:cs="Times New Roman" w:eastAsia="Times New Roman" w:hAnsi="Times New Roman"/>
        </w:rPr>
        <w:t xml:space="preserve"> en los casos, cohortes y períodos en que ello se acredite, conforme al artículo 771 CCyC, disponiendo la imputación del exceso al capital;</w:t>
      </w:r>
    </w:p>
    <w:p>
      <w:pPr>
        <w:spacing w:after="140" w:line="360"/>
        <w:ind w:left="720" w:hanging="360"/>
        <w:jc w:val="both"/>
      </w:pPr>
      <w:r>
        <w:rPr>
          <w:rFonts w:ascii="Times New Roman" w:cs="Times New Roman" w:eastAsia="Times New Roman" w:hAnsi="Times New Roman"/>
        </w:rPr>
        <w:t xml:space="preserve">5. </w:t>
      </w:r>
      <w:r>
        <w:rPr>
          <w:rFonts w:ascii="Times New Roman" w:cs="Times New Roman" w:eastAsia="Times New Roman" w:hAnsi="Times New Roman"/>
          <w:b/>
          <w:bCs/>
        </w:rPr>
        <w:t xml:space="preserve">Ordene el recálculo de cada deuda</w:t>
      </w:r>
      <w:r>
        <w:rPr>
          <w:rFonts w:ascii="Times New Roman" w:cs="Times New Roman" w:eastAsia="Times New Roman" w:hAnsi="Times New Roman"/>
        </w:rPr>
        <w:t xml:space="preserve"> imputando primero al capital los intereses y cargos percibidos en exceso, según la cuenta contrafactual que fije el tribunal;</w:t>
      </w:r>
    </w:p>
    <w:p>
      <w:pPr>
        <w:spacing w:after="140" w:line="360"/>
        <w:ind w:left="720" w:hanging="360"/>
        <w:jc w:val="both"/>
      </w:pPr>
      <w:r>
        <w:rPr>
          <w:rFonts w:ascii="Times New Roman" w:cs="Times New Roman" w:eastAsia="Times New Roman" w:hAnsi="Times New Roman"/>
        </w:rPr>
        <w:t xml:space="preserve">6. </w:t>
      </w:r>
      <w:r>
        <w:rPr>
          <w:rFonts w:ascii="Times New Roman" w:cs="Times New Roman" w:eastAsia="Times New Roman" w:hAnsi="Times New Roman"/>
          <w:b/>
          <w:bCs/>
        </w:rPr>
        <w:t xml:space="preserve">Condene a la/s demandada/s a restituir</w:t>
      </w:r>
      <w:r>
        <w:rPr>
          <w:rFonts w:ascii="Times New Roman" w:cs="Times New Roman" w:eastAsia="Times New Roman" w:hAnsi="Times New Roman"/>
        </w:rPr>
        <w:t xml:space="preserve"> a las personas integrantes de la clase las sumas indebidamente percibidas, con más intereses, por los mismos medios de cobro empleados o mediante el mecanismo judicialmente controlado que se disponga (art. 54 LDC);</w:t>
      </w:r>
    </w:p>
    <w:p>
      <w:pPr>
        <w:spacing w:after="140" w:line="360"/>
        <w:ind w:left="720" w:hanging="360"/>
        <w:jc w:val="both"/>
      </w:pPr>
      <w:r>
        <w:rPr>
          <w:rFonts w:ascii="Times New Roman" w:cs="Times New Roman" w:eastAsia="Times New Roman" w:hAnsi="Times New Roman"/>
        </w:rPr>
        <w:t xml:space="preserve">7. </w:t>
      </w:r>
      <w:r>
        <w:rPr>
          <w:rFonts w:ascii="Times New Roman" w:cs="Times New Roman" w:eastAsia="Times New Roman" w:hAnsi="Times New Roman"/>
          <w:b/>
          <w:bCs/>
        </w:rPr>
        <w:t xml:space="preserve">Ordene el cese</w:t>
      </w:r>
      <w:r>
        <w:rPr>
          <w:rFonts w:ascii="Times New Roman" w:cs="Times New Roman" w:eastAsia="Times New Roman" w:hAnsi="Times New Roman"/>
        </w:rPr>
        <w:t xml:space="preserve"> de las prácticas declaradas ilícitas y la </w:t>
      </w:r>
      <w:r>
        <w:rPr>
          <w:rFonts w:ascii="Times New Roman" w:cs="Times New Roman" w:eastAsia="Times New Roman" w:hAnsi="Times New Roman"/>
          <w:b/>
          <w:bCs/>
        </w:rPr>
        <w:t xml:space="preserve">corrección futura</w:t>
      </w:r>
      <w:r>
        <w:rPr>
          <w:rFonts w:ascii="Times New Roman" w:cs="Times New Roman" w:eastAsia="Times New Roman" w:hAnsi="Times New Roman"/>
        </w:rPr>
        <w:t xml:space="preserve"> de contratos, publicidad, estados de cuenta, simuladores y mecanismos de débito;</w:t>
      </w:r>
    </w:p>
    <w:p>
      <w:pPr>
        <w:spacing w:after="140" w:line="360"/>
        <w:ind w:left="720" w:hanging="360"/>
        <w:jc w:val="both"/>
      </w:pPr>
      <w:r>
        <w:rPr>
          <w:rFonts w:ascii="Times New Roman" w:cs="Times New Roman" w:eastAsia="Times New Roman" w:hAnsi="Times New Roman"/>
        </w:rPr>
        <w:t xml:space="preserve">8. </w:t>
      </w:r>
      <w:r>
        <w:rPr>
          <w:rFonts w:ascii="Times New Roman" w:cs="Times New Roman" w:eastAsia="Times New Roman" w:hAnsi="Times New Roman"/>
          <w:b/>
          <w:bCs/>
        </w:rPr>
        <w:t xml:space="preserve">Disponga la preservación y exhibición</w:t>
      </w:r>
      <w:r>
        <w:rPr>
          <w:rFonts w:ascii="Times New Roman" w:cs="Times New Roman" w:eastAsia="Times New Roman" w:hAnsi="Times New Roman"/>
        </w:rPr>
        <w:t xml:space="preserve"> de la documentación e información necesarias para identificar la clase, calcular el daño y medir la rentabilidad neta atribuible a cada cartera impugnada;</w:t>
      </w:r>
    </w:p>
    <w:p>
      <w:pPr>
        <w:spacing w:after="140" w:line="360"/>
        <w:ind w:left="720" w:hanging="360"/>
        <w:jc w:val="both"/>
      </w:pPr>
      <w:r>
        <w:rPr>
          <w:rFonts w:ascii="Times New Roman" w:cs="Times New Roman" w:eastAsia="Times New Roman" w:hAnsi="Times New Roman"/>
        </w:rPr>
        <w:t xml:space="preserve">9. </w:t>
      </w:r>
      <w:r>
        <w:rPr>
          <w:rFonts w:ascii="Times New Roman" w:cs="Times New Roman" w:eastAsia="Times New Roman" w:hAnsi="Times New Roman"/>
          <w:b/>
          <w:bCs/>
        </w:rPr>
        <w:t xml:space="preserve">Imponga</w:t>
      </w:r>
      <w:r>
        <w:rPr>
          <w:rFonts w:ascii="Times New Roman" w:cs="Times New Roman" w:eastAsia="Times New Roman" w:hAnsi="Times New Roman"/>
        </w:rPr>
        <w:t xml:space="preserve">, si la prueba y el derecho aplicable lo justifican, la reparación de daños, la multa civil del artículo 52 bis LDC, intereses y costas; y</w:t>
      </w:r>
    </w:p>
    <w:p>
      <w:pPr>
        <w:spacing w:after="140" w:line="360"/>
        <w:ind w:left="720" w:hanging="360"/>
        <w:jc w:val="both"/>
      </w:pPr>
      <w:r>
        <w:rPr>
          <w:rFonts w:ascii="Times New Roman" w:cs="Times New Roman" w:eastAsia="Times New Roman" w:hAnsi="Times New Roman"/>
        </w:rPr>
        <w:t xml:space="preserve">10. </w:t>
      </w:r>
      <w:r>
        <w:rPr>
          <w:rFonts w:ascii="Times New Roman" w:cs="Times New Roman" w:eastAsia="Times New Roman" w:hAnsi="Times New Roman"/>
          <w:b/>
          <w:bCs/>
        </w:rPr>
        <w:t xml:space="preserve">subsidiariamente</w:t>
      </w:r>
      <w:r>
        <w:rPr>
          <w:rFonts w:ascii="Times New Roman" w:cs="Times New Roman" w:eastAsia="Times New Roman" w:hAnsi="Times New Roman"/>
        </w:rPr>
        <w:t xml:space="preserve">, para el caso de que la prueba individual y corporativa revele los extremos del artículo 175 bis del Código Penal, disponga extraer testimonios y remitirlos al Ministerio Público Fiscal, sin que esta acción anticipe imputación penal alguna.</w:t>
      </w:r>
    </w:p>
    <w:p>
      <w:pPr>
        <w:spacing w:after="160" w:line="360"/>
        <w:jc w:val="both"/>
      </w:pPr>
      <w:r>
        <w:rPr>
          <w:rFonts w:ascii="Times New Roman" w:cs="Times New Roman" w:eastAsia="Times New Roman" w:hAnsi="Times New Roman"/>
          <w:b/>
          <w:bCs/>
        </w:rPr>
        <w:t xml:space="preserve">Delimitación de la pretensión.</w:t>
      </w:r>
      <w:r>
        <w:rPr>
          <w:rFonts w:ascii="Times New Roman" w:cs="Times New Roman" w:eastAsia="Times New Roman" w:hAnsi="Times New Roman"/>
        </w:rPr>
        <w:t xml:space="preserve"> Esta demanda </w:t>
      </w:r>
      <w:r>
        <w:rPr>
          <w:rFonts w:ascii="Times New Roman" w:cs="Times New Roman" w:eastAsia="Times New Roman" w:hAnsi="Times New Roman"/>
          <w:b/>
          <w:bCs/>
        </w:rPr>
        <w:t xml:space="preserve">no</w:t>
      </w:r>
      <w:r>
        <w:rPr>
          <w:rFonts w:ascii="Times New Roman" w:cs="Times New Roman" w:eastAsia="Times New Roman" w:hAnsi="Times New Roman"/>
        </w:rPr>
        <w:t xml:space="preserve"> postula que toda tasa superior a la inflación sea ilícita, que la rentabilidad bancaria sea en sí abusiva, que corresponda fijar judicialmente una tasa general para la economía ni que la persona consumidora conserve el capital sin devolverlo. Reconoce que el precio del crédito puede ser elevado y lícito cuando la inflación, el costo de fondeo, la mora, las previsiones, los gastos, los impuestos, la liquidez y el capital regulatorio son costos reales, atribuibles y demostrables. La pretensión reposa en una simetría precisa —</w:t>
      </w:r>
      <w:r>
        <w:rPr>
          <w:rFonts w:ascii="Times New Roman" w:cs="Times New Roman" w:eastAsia="Times New Roman" w:hAnsi="Times New Roman"/>
          <w:b/>
          <w:bCs/>
        </w:rPr>
        <w:t xml:space="preserve">ni gratuidad para el deudor ni inmunidad para el proveedor</w:t>
      </w:r>
      <w:r>
        <w:rPr>
          <w:rFonts w:ascii="Times New Roman" w:cs="Times New Roman" w:eastAsia="Times New Roman" w:hAnsi="Times New Roman"/>
        </w:rPr>
        <w:t xml:space="preserve">—: (i) el precio total debió informarse antes de contratar, de forma cierta, visible y comprensible; (ii) no pueden cobrarse importes no previstos, servicios no prestados ni costos omitidos o mal incorporados al CFT; (iii) la tasa y la capitalización son reducibles si exceden, sin justificación y desproporcionadamente, el costo medio de operaciones comparables; y (iv) probado el exceso, el banco conserva el capital y el costo legítimo, imputándose lo cobrado de más al capital y, extinguido éste, restituyéndose.</w:t>
      </w:r>
    </w:p>
    <w:p>
      <w:pPr>
        <w:pStyle w:val="Heading1"/>
        <w:keepNext/>
        <w:spacing w:after="160" w:before="320" w:line="360"/>
      </w:pPr>
      <w:r>
        <w:rPr>
          <w:rFonts w:ascii="Times New Roman" w:cs="Times New Roman" w:eastAsia="Times New Roman" w:hAnsi="Times New Roman"/>
          <w:b/>
          <w:bCs/>
          <w:sz w:val="26"/>
          <w:szCs w:val="26"/>
        </w:rPr>
        <w:t xml:space="preserve">II. PERSONERÍA Y LEGITIMACIÓN ACTIVA</w:t>
      </w:r>
    </w:p>
    <w:p>
      <w:pPr>
        <w:spacing w:after="160" w:line="360"/>
        <w:jc w:val="both"/>
      </w:pPr>
      <w:r>
        <w:rPr>
          <w:rFonts w:ascii="Times New Roman" w:cs="Times New Roman" w:eastAsia="Times New Roman" w:hAnsi="Times New Roman"/>
          <w:b/>
          <w:bCs/>
        </w:rPr>
        <w:t xml:space="preserve">[ASOCIACIÓN / LEGITIMADO]</w:t>
      </w:r>
      <w:r>
        <w:rPr>
          <w:rFonts w:ascii="Times New Roman" w:cs="Times New Roman" w:eastAsia="Times New Roman" w:hAnsi="Times New Roman"/>
        </w:rPr>
        <w:t xml:space="preserve"> se encuentra legitimada para promover esta acción en los términos de los artículos 43, segundo párrafo, de la Constitución Nacional y 52 y 55 de la LDC, por tratarse de una asociación cuyo objeto estatutario es la defensa de los derechos de las personas consumidoras y usuarias, debidamente registrada y con autorización vigente para funcionar. Acompañamos estatuto, acta de designación de autoridades, constancia de inscripción registral y </w:t>
      </w:r>
      <w:r>
        <w:rPr>
          <w:rFonts w:ascii="Times New Roman" w:cs="Times New Roman" w:eastAsia="Times New Roman" w:hAnsi="Times New Roman"/>
          <w:b/>
          <w:bCs/>
        </w:rPr>
        <w:t xml:space="preserve">[poder / acta de facultamiento]</w:t>
      </w:r>
      <w:r>
        <w:rPr>
          <w:rFonts w:ascii="Times New Roman" w:cs="Times New Roman" w:eastAsia="Times New Roman" w:hAnsi="Times New Roman"/>
        </w:rPr>
        <w:t xml:space="preserve"> (Documental A-1 a A-4).</w:t>
      </w:r>
    </w:p>
    <w:p>
      <w:pPr>
        <w:spacing w:after="160" w:line="360"/>
        <w:jc w:val="both"/>
      </w:pPr>
      <w:r>
        <w:rPr>
          <w:rFonts w:ascii="Times New Roman" w:cs="Times New Roman" w:eastAsia="Times New Roman" w:hAnsi="Times New Roman"/>
        </w:rPr>
        <w:t xml:space="preserve">La legitimación colectiva de las asociaciones de consumidores para impugnar cláusulas predispuestas y prácticas estandarizadas de proveedores fue expresamente reconocida por la Corte Suprema en </w:t>
      </w:r>
      <w:r>
        <w:rPr>
          <w:rFonts w:ascii="Times New Roman" w:cs="Times New Roman" w:eastAsia="Times New Roman" w:hAnsi="Times New Roman"/>
          <w:b/>
          <w:bCs/>
        </w:rPr>
        <w:t xml:space="preserve">«PADEC c/ Swiss Medical S.A.»</w:t>
      </w:r>
      <w:r>
        <w:rPr>
          <w:rFonts w:ascii="Times New Roman" w:cs="Times New Roman" w:eastAsia="Times New Roman" w:hAnsi="Times New Roman"/>
        </w:rPr>
        <w:t xml:space="preserve"> (Fallos 336:1236, 21/08/2013) y en </w:t>
      </w:r>
      <w:r>
        <w:rPr>
          <w:rFonts w:ascii="Times New Roman" w:cs="Times New Roman" w:eastAsia="Times New Roman" w:hAnsi="Times New Roman"/>
          <w:b/>
          <w:bCs/>
        </w:rPr>
        <w:t xml:space="preserve">«Consumidores Financieros Asociación Civil para su defensa c/ Banco Itaú Buen Ayre Argentina S.A.»</w:t>
      </w:r>
      <w:r>
        <w:rPr>
          <w:rFonts w:ascii="Times New Roman" w:cs="Times New Roman" w:eastAsia="Times New Roman" w:hAnsi="Times New Roman"/>
        </w:rPr>
        <w:t xml:space="preserve"> (Fallos 337:753, 24/06/2014), este último precisamente respecto de una entidad bancaria demandada por cargos y por una TEA alegadamente irrazonable, ponderando la conducta común y el reducido incentivo para el litigio individual.</w:t>
      </w:r>
    </w:p>
    <w:p>
      <w:pPr>
        <w:spacing w:after="160" w:line="360"/>
        <w:jc w:val="both"/>
      </w:pPr>
      <w:r>
        <w:rPr>
          <w:rFonts w:ascii="Times New Roman" w:cs="Times New Roman" w:eastAsia="Times New Roman" w:hAnsi="Times New Roman"/>
          <w:b/>
          <w:bCs/>
        </w:rPr>
        <w:t xml:space="preserve">Representación adecuada.</w:t>
      </w:r>
      <w:r>
        <w:rPr>
          <w:rFonts w:ascii="Times New Roman" w:cs="Times New Roman" w:eastAsia="Times New Roman" w:hAnsi="Times New Roman"/>
        </w:rPr>
        <w:t xml:space="preserve"> Manifestamos bajo juramento que </w:t>
      </w:r>
      <w:r>
        <w:rPr>
          <w:rFonts w:ascii="Times New Roman" w:cs="Times New Roman" w:eastAsia="Times New Roman" w:hAnsi="Times New Roman"/>
          <w:b/>
          <w:bCs/>
        </w:rPr>
        <w:t xml:space="preserve">[ASOCIACIÓN / LEGITIMADO]</w:t>
      </w:r>
      <w:r>
        <w:rPr>
          <w:rFonts w:ascii="Times New Roman" w:cs="Times New Roman" w:eastAsia="Times New Roman" w:hAnsi="Times New Roman"/>
        </w:rPr>
        <w:t xml:space="preserve"> no se encuentra en situación de conflicto de intereses con la clase, cuenta con antecedentes, estructura y patrocinio idóneos para llevar adelante el proceso, y asumirá la carga de notificación y de rendición conforme a las reglas que V.S. establezca.</w:t>
      </w:r>
    </w:p>
    <w:p>
      <w:pPr>
        <w:pStyle w:val="Heading1"/>
        <w:keepNext/>
        <w:spacing w:after="160" w:before="320" w:line="360"/>
      </w:pPr>
      <w:r>
        <w:rPr>
          <w:rFonts w:ascii="Times New Roman" w:cs="Times New Roman" w:eastAsia="Times New Roman" w:hAnsi="Times New Roman"/>
          <w:b/>
          <w:bCs/>
          <w:sz w:val="26"/>
          <w:szCs w:val="26"/>
        </w:rPr>
        <w:t xml:space="preserve">III. LEGITIMACIÓN PASIVA. DEMANDADOS</w:t>
      </w:r>
    </w:p>
    <w:p>
      <w:pPr>
        <w:spacing w:after="160" w:line="360"/>
        <w:jc w:val="both"/>
      </w:pPr>
      <w:r>
        <w:rPr>
          <w:rFonts w:ascii="Times New Roman" w:cs="Times New Roman" w:eastAsia="Times New Roman" w:hAnsi="Times New Roman"/>
        </w:rPr>
        <w:t xml:space="preserve">La acción se dirige contra </w:t>
      </w:r>
      <w:r>
        <w:rPr>
          <w:rFonts w:ascii="Times New Roman" w:cs="Times New Roman" w:eastAsia="Times New Roman" w:hAnsi="Times New Roman"/>
          <w:b/>
          <w:bCs/>
        </w:rPr>
        <w:t xml:space="preserve">[BANCO/S IDENTIFICADO/S]</w:t>
      </w:r>
      <w:r>
        <w:rPr>
          <w:rFonts w:ascii="Times New Roman" w:cs="Times New Roman" w:eastAsia="Times New Roman" w:hAnsi="Times New Roman"/>
        </w:rPr>
        <w:t xml:space="preserve">, entidad/es financiera/s autorizada/s y sujeta/s a la superintendencia del BCRA, en su carácter de proveedor/es profesional/es de crédito de consumo (arts. 2 LDC y 1093 CCyC), que </w:t>
      </w:r>
      <w:r>
        <w:rPr>
          <w:rFonts w:ascii="Times New Roman" w:cs="Times New Roman" w:eastAsia="Times New Roman" w:hAnsi="Times New Roman"/>
          <w:b/>
          <w:bCs/>
        </w:rPr>
        <w:t xml:space="preserve">diseñó/diseñaron</w:t>
      </w:r>
      <w:r>
        <w:rPr>
          <w:rFonts w:ascii="Times New Roman" w:cs="Times New Roman" w:eastAsia="Times New Roman" w:hAnsi="Times New Roman"/>
        </w:rPr>
        <w:t xml:space="preserve"> la fórmula financiera, clasificó/clasificaron el riesgo, controló/controlaron el flujo digital de contratación, conserva/n los registros y </w:t>
      </w:r>
      <w:r>
        <w:rPr>
          <w:rFonts w:ascii="Times New Roman" w:cs="Times New Roman" w:eastAsia="Times New Roman" w:hAnsi="Times New Roman"/>
          <w:b/>
          <w:bCs/>
        </w:rPr>
        <w:t xml:space="preserve">aplicó/aplicaron</w:t>
      </w:r>
      <w:r>
        <w:rPr>
          <w:rFonts w:ascii="Times New Roman" w:cs="Times New Roman" w:eastAsia="Times New Roman" w:hAnsi="Times New Roman"/>
        </w:rPr>
        <w:t xml:space="preserve"> de manera masiva la/s cláusula/s, fórmula/s o práctica/s común/es individualizada/s en los hechos.</w:t>
      </w:r>
    </w:p>
    <w:p>
      <w:pPr>
        <w:spacing w:after="160" w:line="360"/>
        <w:jc w:val="both"/>
      </w:pPr>
      <w:r>
        <w:rPr>
          <w:rFonts w:ascii="Times New Roman" w:cs="Times New Roman" w:eastAsia="Times New Roman" w:hAnsi="Times New Roman"/>
        </w:rPr>
        <w:t xml:space="preserve">Conforme al criterio del Manuscrito V0.7, </w:t>
      </w:r>
      <w:r>
        <w:rPr>
          <w:rFonts w:ascii="Times New Roman" w:cs="Times New Roman" w:eastAsia="Times New Roman" w:hAnsi="Times New Roman"/>
          <w:b/>
          <w:bCs/>
        </w:rPr>
        <w:t xml:space="preserve">no se demanda a «la banca» en abstracto</w:t>
      </w:r>
      <w:r>
        <w:rPr>
          <w:rFonts w:ascii="Times New Roman" w:cs="Times New Roman" w:eastAsia="Times New Roman" w:hAnsi="Times New Roman"/>
        </w:rPr>
        <w:t xml:space="preserve">: la acción colectiva exige una causa fáctica común, por lo que se dirige contra entidades identificadas por su propia conducta común, o contra un conjunto de entidades sólo cuando exista una práctica o cláusula sustancialmente idéntica. La selección de demandados se sustenta en el relevamiento del Régimen de Transparencia del BCRA y del panel contable público que se acompañan (ver Capítulo VIII y Anexos T-4, B-2 y B-10), sin perjuicio de su ampliación o precisión según resulte de la prueba.</w:t>
      </w:r>
    </w:p>
    <w:p>
      <w:pPr>
        <w:spacing w:after="160" w:line="360"/>
        <w:jc w:val="both"/>
      </w:pPr>
      <w:r>
        <w:rPr>
          <w:rFonts w:ascii="Times New Roman" w:cs="Times New Roman" w:eastAsia="Times New Roman" w:hAnsi="Times New Roman"/>
        </w:rPr>
        <w:t xml:space="preserve">Para el supuesto de pluralidad de demandados, se conformarán </w:t>
      </w:r>
      <w:r>
        <w:rPr>
          <w:rFonts w:ascii="Times New Roman" w:cs="Times New Roman" w:eastAsia="Times New Roman" w:hAnsi="Times New Roman"/>
          <w:b/>
          <w:bCs/>
        </w:rPr>
        <w:t xml:space="preserve">subclases por entidad, producto, contrato tipo y cohorte temporal</w:t>
      </w:r>
      <w:r>
        <w:rPr>
          <w:rFonts w:ascii="Times New Roman" w:cs="Times New Roman" w:eastAsia="Times New Roman" w:hAnsi="Times New Roman"/>
        </w:rPr>
        <w:t xml:space="preserve">, de modo que la eventual falta de homogeneidad respecto de una entidad no afecte a las demás.</w:t>
      </w:r>
    </w:p>
    <w:p>
      <w:pPr>
        <w:pStyle w:val="Heading1"/>
        <w:keepNext/>
        <w:spacing w:after="160" w:before="320" w:line="360"/>
      </w:pPr>
      <w:r>
        <w:rPr>
          <w:rFonts w:ascii="Times New Roman" w:cs="Times New Roman" w:eastAsia="Times New Roman" w:hAnsi="Times New Roman"/>
          <w:b/>
          <w:bCs/>
          <w:sz w:val="26"/>
          <w:szCs w:val="26"/>
        </w:rPr>
        <w:t xml:space="preserve">IV. COMPETENCIA</w:t>
      </w:r>
    </w:p>
    <w:p>
      <w:pPr>
        <w:spacing w:after="160" w:line="360"/>
        <w:jc w:val="both"/>
      </w:pPr>
      <w:r>
        <w:rPr>
          <w:rFonts w:ascii="Times New Roman" w:cs="Times New Roman" w:eastAsia="Times New Roman" w:hAnsi="Times New Roman"/>
        </w:rPr>
        <w:t xml:space="preserve">V.S. resulta competente en razón de </w:t>
      </w:r>
      <w:r>
        <w:rPr>
          <w:rFonts w:ascii="Times New Roman" w:cs="Times New Roman" w:eastAsia="Times New Roman" w:hAnsi="Times New Roman"/>
          <w:b/>
          <w:bCs/>
        </w:rPr>
        <w:t xml:space="preserve">[la materia / el territorio / las personas]</w:t>
      </w:r>
      <w:r>
        <w:rPr>
          <w:rFonts w:ascii="Times New Roman" w:cs="Times New Roman" w:eastAsia="Times New Roman" w:hAnsi="Times New Roman"/>
        </w:rPr>
        <w:t xml:space="preserve">, por tratarse de una relación de consumo (arts. 42 CN; 1, 3 y 53 LDC; 1092 y ss. CCyC) y por </w:t>
      </w:r>
      <w:r>
        <w:rPr>
          <w:rFonts w:ascii="Times New Roman" w:cs="Times New Roman" w:eastAsia="Times New Roman" w:hAnsi="Times New Roman"/>
          <w:b/>
          <w:bCs/>
        </w:rPr>
        <w:t xml:space="preserve">[domicilio de la mayoría de los consumidores de la clase / lugar de cumplimiento de las obligaciones / domicilio de la demandada / regla procesal local aplicable]</w:t>
      </w:r>
      <w:r>
        <w:rPr>
          <w:rFonts w:ascii="Times New Roman" w:cs="Times New Roman" w:eastAsia="Times New Roman" w:hAnsi="Times New Roman"/>
        </w:rPr>
        <w:t xml:space="preserve">. El artículo 53 LDC habilita la radicación en el domicilio del consumidor, criterio protectorio que debe orientar la determinación del fuero competente en beneficio de la clase.</w:t>
      </w:r>
    </w:p>
    <w:p>
      <w:pPr>
        <w:spacing w:after="160" w:line="360"/>
        <w:jc w:val="both"/>
      </w:pPr>
      <w:r>
        <w:rPr>
          <w:rFonts w:ascii="Times New Roman" w:cs="Times New Roman" w:eastAsia="Times New Roman" w:hAnsi="Times New Roman"/>
        </w:rPr>
        <w:t xml:space="preserve">Se reserva plantear la cuestión de competencia federal para el caso de que el desarrollo del proceso comprometa la interpretación directa de normas federales, conforme se expone en el Capítulo XI.</w:t>
      </w:r>
    </w:p>
    <w:p>
      <w:pPr>
        <w:pStyle w:val="Heading1"/>
        <w:keepNext/>
        <w:spacing w:after="160" w:before="320" w:line="360"/>
      </w:pPr>
      <w:r>
        <w:rPr>
          <w:rFonts w:ascii="Times New Roman" w:cs="Times New Roman" w:eastAsia="Times New Roman" w:hAnsi="Times New Roman"/>
          <w:b/>
          <w:bCs/>
          <w:sz w:val="26"/>
          <w:szCs w:val="26"/>
        </w:rPr>
        <w:t xml:space="preserve">V. ADMISIBILIDAD DE LA ACCIÓN COLECTIVA. CLASE Y SUBCLASES</w:t>
      </w:r>
    </w:p>
    <w:p>
      <w:pPr>
        <w:pStyle w:val="Heading2"/>
        <w:keepNext/>
        <w:spacing w:after="120" w:before="240" w:line="360"/>
      </w:pPr>
      <w:r>
        <w:rPr>
          <w:rFonts w:ascii="Times New Roman" w:cs="Times New Roman" w:eastAsia="Times New Roman" w:hAnsi="Times New Roman"/>
          <w:b/>
          <w:bCs/>
          <w:sz w:val="24"/>
          <w:szCs w:val="24"/>
        </w:rPr>
        <w:t xml:space="preserve">V.1. Derechos individuales homogéneos</w:t>
      </w:r>
    </w:p>
    <w:p>
      <w:pPr>
        <w:spacing w:after="160" w:line="360"/>
        <w:jc w:val="both"/>
      </w:pPr>
      <w:r>
        <w:rPr>
          <w:rFonts w:ascii="Times New Roman" w:cs="Times New Roman" w:eastAsia="Times New Roman" w:hAnsi="Times New Roman"/>
        </w:rPr>
        <w:t xml:space="preserve">Conforme a la doctrina fundacional de </w:t>
      </w:r>
      <w:r>
        <w:rPr>
          <w:rFonts w:ascii="Times New Roman" w:cs="Times New Roman" w:eastAsia="Times New Roman" w:hAnsi="Times New Roman"/>
          <w:b/>
          <w:bCs/>
        </w:rPr>
        <w:t xml:space="preserve">«Halabi, Ernesto c/ P.E.N.»</w:t>
      </w:r>
      <w:r>
        <w:rPr>
          <w:rFonts w:ascii="Times New Roman" w:cs="Times New Roman" w:eastAsia="Times New Roman" w:hAnsi="Times New Roman"/>
        </w:rPr>
        <w:t xml:space="preserve"> (Fallos 332:111, 24/02/2009), la tutela colectiva de derechos individuales homogéneos requiere, sustancialmente: (i) una </w:t>
      </w:r>
      <w:r>
        <w:rPr>
          <w:rFonts w:ascii="Times New Roman" w:cs="Times New Roman" w:eastAsia="Times New Roman" w:hAnsi="Times New Roman"/>
          <w:b/>
          <w:bCs/>
        </w:rPr>
        <w:t xml:space="preserve">causa fáctica común</w:t>
      </w:r>
      <w:r>
        <w:rPr>
          <w:rFonts w:ascii="Times New Roman" w:cs="Times New Roman" w:eastAsia="Times New Roman" w:hAnsi="Times New Roman"/>
        </w:rPr>
        <w:t xml:space="preserve">; (ii) una </w:t>
      </w:r>
      <w:r>
        <w:rPr>
          <w:rFonts w:ascii="Times New Roman" w:cs="Times New Roman" w:eastAsia="Times New Roman" w:hAnsi="Times New Roman"/>
          <w:b/>
          <w:bCs/>
        </w:rPr>
        <w:t xml:space="preserve">pretensión concentrada en los efectos comunes</w:t>
      </w:r>
      <w:r>
        <w:rPr>
          <w:rFonts w:ascii="Times New Roman" w:cs="Times New Roman" w:eastAsia="Times New Roman" w:hAnsi="Times New Roman"/>
        </w:rPr>
        <w:t xml:space="preserve"> y no en lo que cada individuo puede peticionar; y (iii) que el </w:t>
      </w:r>
      <w:r>
        <w:rPr>
          <w:rFonts w:ascii="Times New Roman" w:cs="Times New Roman" w:eastAsia="Times New Roman" w:hAnsi="Times New Roman"/>
          <w:b/>
          <w:bCs/>
        </w:rPr>
        <w:t xml:space="preserve">ejercicio individual no aparezca plenamente justificado</w:t>
      </w:r>
      <w:r>
        <w:rPr>
          <w:rFonts w:ascii="Times New Roman" w:cs="Times New Roman" w:eastAsia="Times New Roman" w:hAnsi="Times New Roman"/>
        </w:rPr>
        <w:t xml:space="preserve">, o que exista un fuerte interés estatal en su protección, sea por trascendencia social o por tratarse de un grupo tradicionalmente postergado.</w:t>
      </w:r>
    </w:p>
    <w:p>
      <w:pPr>
        <w:spacing w:after="160" w:line="360"/>
        <w:jc w:val="both"/>
      </w:pPr>
      <w:r>
        <w:rPr>
          <w:rFonts w:ascii="Times New Roman" w:cs="Times New Roman" w:eastAsia="Times New Roman" w:hAnsi="Times New Roman"/>
        </w:rPr>
        <w:t xml:space="preserve">Los tres recaudos se verifican en el caso:</w:t>
      </w:r>
    </w:p>
    <w:p>
      <w:pPr>
        <w:spacing w:after="140" w:line="360"/>
        <w:ind w:left="720" w:hanging="36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Causa fáctica común.</w:t>
      </w:r>
      <w:r>
        <w:rPr>
          <w:rFonts w:ascii="Times New Roman" w:cs="Times New Roman" w:eastAsia="Times New Roman" w:hAnsi="Times New Roman"/>
        </w:rPr>
        <w:t xml:space="preserve"> La causa no se formula como «el crédito es caro», sino como la </w:t>
      </w:r>
      <w:r>
        <w:rPr>
          <w:rFonts w:ascii="Times New Roman" w:cs="Times New Roman" w:eastAsia="Times New Roman" w:hAnsi="Times New Roman"/>
          <w:b/>
          <w:bCs/>
        </w:rPr>
        <w:t xml:space="preserve">aplicación masiva de una misma cláusula, fórmula, omisión informativa o cargo</w:t>
      </w:r>
      <w:r>
        <w:rPr>
          <w:rFonts w:ascii="Times New Roman" w:cs="Times New Roman" w:eastAsia="Times New Roman" w:hAnsi="Times New Roman"/>
        </w:rPr>
        <w:t xml:space="preserve"> a una cartera identificable de préstamos personales y financiaciones de consumo, comercializados mediante contratos de adhesión, formularios y recorridos digitales predispuestos por la/s demandada/s (arts. 984 y ss. CCyC), que las personas consumidoras no negociaron individualmente.</w:t>
      </w:r>
    </w:p>
    <w:p>
      <w:pPr>
        <w:spacing w:after="140" w:line="360"/>
        <w:ind w:left="720" w:hanging="360"/>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Pretensión concentrada en efectos comunes.</w:t>
      </w:r>
      <w:r>
        <w:rPr>
          <w:rFonts w:ascii="Times New Roman" w:cs="Times New Roman" w:eastAsia="Times New Roman" w:hAnsi="Times New Roman"/>
        </w:rPr>
        <w:t xml:space="preserve"> Se persigue la declaración de nulidad/ineficacia de cláusulas y prácticas comunes, el cese de su aplicación, la determinación pericial de la desproporción y el recálculo con imputación del exceso al capital. La liquidación individual es una consecuencia mensurable </w:t>
      </w:r>
      <w:r>
        <w:rPr>
          <w:rFonts w:ascii="Times New Roman" w:cs="Times New Roman" w:eastAsia="Times New Roman" w:hAnsi="Times New Roman"/>
          <w:b/>
          <w:bCs/>
        </w:rPr>
        <w:t xml:space="preserve">desde los propios registros de la/s demandada/s</w:t>
      </w:r>
      <w:r>
        <w:rPr>
          <w:rFonts w:ascii="Times New Roman" w:cs="Times New Roman" w:eastAsia="Times New Roman" w:hAnsi="Times New Roman"/>
        </w:rPr>
        <w:t xml:space="preserve">, sin necesidad de un debate individual sobre el núcleo de la ilicitud.</w:t>
      </w:r>
    </w:p>
    <w:p>
      <w:pPr>
        <w:spacing w:after="140" w:line="360"/>
        <w:ind w:left="720" w:hanging="360"/>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Falta de justificación del ejercicio individual e interés estatal.</w:t>
      </w:r>
      <w:r>
        <w:rPr>
          <w:rFonts w:ascii="Times New Roman" w:cs="Times New Roman" w:eastAsia="Times New Roman" w:hAnsi="Times New Roman"/>
        </w:rPr>
        <w:t xml:space="preserve"> El daño se dispersa en importes individualmente reducidos entre miles de contratos, de modo que el litigio individual suele costar más que la reparación, configurando una falla de acceso a la justicia. Se halla comprometido, además, el interés estatal en el control de legalidad de una infraestructura esencial para salarios, pagos y consumo (art. 42 CN).</w:t>
      </w:r>
    </w:p>
    <w:p>
      <w:pPr>
        <w:pStyle w:val="Heading2"/>
        <w:keepNext/>
        <w:spacing w:after="120" w:before="240" w:line="360"/>
      </w:pPr>
      <w:r>
        <w:rPr>
          <w:rFonts w:ascii="Times New Roman" w:cs="Times New Roman" w:eastAsia="Times New Roman" w:hAnsi="Times New Roman"/>
          <w:b/>
          <w:bCs/>
          <w:sz w:val="24"/>
          <w:szCs w:val="24"/>
        </w:rPr>
        <w:t xml:space="preserve">V.2. Definición de la clase</w:t>
      </w:r>
    </w:p>
    <w:p>
      <w:pPr>
        <w:pBdr>
          <w:left w:val="single" w:color="555555" w:sz="12" w:space="12"/>
        </w:pBdr>
        <w:spacing w:after="160" w:before="80" w:line="360"/>
        <w:ind w:left="720" w:right="360"/>
        <w:jc w:val="both"/>
      </w:pPr>
      <w:r>
        <w:rPr>
          <w:rFonts w:ascii="Times New Roman" w:cs="Times New Roman" w:eastAsia="Times New Roman" w:hAnsi="Times New Roman"/>
          <w:i/>
          <w:iCs/>
        </w:rPr>
        <w:t xml:space="preserve">Clase. Todas las personas humanas que, en calidad de destinatarias finales, contrataron con [BANCO DEMANDADO], desde el 1 de enero de 2023 hasta [FECHA DE CORTE DE LA CLASE], préstamos personales o financiaciones de consumo comprendidas en [PRODUCTO / CONTRATO TIPO], a quienes se aplicó la cláusula, fórmula o práctica común identificada como [●].</w:t>
      </w:r>
    </w:p>
    <w:p>
      <w:pPr>
        <w:pStyle w:val="Heading2"/>
        <w:keepNext/>
        <w:spacing w:after="120" w:before="240" w:line="360"/>
      </w:pPr>
      <w:r>
        <w:rPr>
          <w:rFonts w:ascii="Times New Roman" w:cs="Times New Roman" w:eastAsia="Times New Roman" w:hAnsi="Times New Roman"/>
          <w:b/>
          <w:bCs/>
          <w:sz w:val="24"/>
          <w:szCs w:val="24"/>
        </w:rPr>
        <w:t xml:space="preserve">V.3. Subclases</w:t>
      </w:r>
    </w:p>
    <w:p>
      <w:pPr>
        <w:spacing w:after="140" w:line="360"/>
        <w:ind w:left="720" w:hanging="36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Información (arts. 4 y 36 LDC; 1388 y 1389 CCyC):</w:t>
      </w:r>
      <w:r>
        <w:rPr>
          <w:rFonts w:ascii="Times New Roman" w:cs="Times New Roman" w:eastAsia="Times New Roman" w:hAnsi="Times New Roman"/>
        </w:rPr>
        <w:t xml:space="preserve"> contratos sin TEA/CFT completo, sin tabla de amortización o sin detalle de los cargos y extras a cargo del consumidor.</w:t>
      </w:r>
    </w:p>
    <w:p>
      <w:pPr>
        <w:spacing w:after="140" w:line="360"/>
        <w:ind w:left="720" w:hanging="360"/>
        <w:jc w:val="both"/>
      </w:pPr>
      <w:r>
        <w:rPr>
          <w:rFonts w:ascii="Times New Roman" w:cs="Times New Roman" w:eastAsia="Times New Roman" w:hAnsi="Times New Roman"/>
        </w:rPr>
        <w:t xml:space="preserve">2. </w:t>
      </w:r>
      <w:r>
        <w:rPr>
          <w:rFonts w:ascii="Times New Roman" w:cs="Times New Roman" w:eastAsia="Times New Roman" w:hAnsi="Times New Roman"/>
          <w:b/>
          <w:bCs/>
        </w:rPr>
        <w:t xml:space="preserve">Cargos (arts. 35 y 37 LDC; 1388 CCyC):</w:t>
      </w:r>
      <w:r>
        <w:rPr>
          <w:rFonts w:ascii="Times New Roman" w:cs="Times New Roman" w:eastAsia="Times New Roman" w:hAnsi="Times New Roman"/>
        </w:rPr>
        <w:t xml:space="preserve"> personas a quienes se cobraron comisiones, seguros o conceptos no previstos, no prestados, duplicados o indebidamente incluidos en el CFT.</w:t>
      </w:r>
    </w:p>
    <w:p>
      <w:pPr>
        <w:spacing w:after="140" w:line="360"/>
        <w:ind w:left="720" w:hanging="360"/>
        <w:jc w:val="both"/>
      </w:pPr>
      <w:r>
        <w:rPr>
          <w:rFonts w:ascii="Times New Roman" w:cs="Times New Roman" w:eastAsia="Times New Roman" w:hAnsi="Times New Roman"/>
        </w:rPr>
        <w:t xml:space="preserve">3. </w:t>
      </w:r>
      <w:r>
        <w:rPr>
          <w:rFonts w:ascii="Times New Roman" w:cs="Times New Roman" w:eastAsia="Times New Roman" w:hAnsi="Times New Roman"/>
          <w:b/>
          <w:bCs/>
        </w:rPr>
        <w:t xml:space="preserve">Interés desproporcionado (arts. 10, 771 CCyC):</w:t>
      </w:r>
      <w:r>
        <w:rPr>
          <w:rFonts w:ascii="Times New Roman" w:cs="Times New Roman" w:eastAsia="Times New Roman" w:hAnsi="Times New Roman"/>
        </w:rPr>
        <w:t xml:space="preserve"> cohortes cuya tasa o CFT excedió, injustificada y desproporcionadamente, el comparador de operaciones similares que establezca la pericia.</w:t>
      </w:r>
    </w:p>
    <w:p>
      <w:pPr>
        <w:spacing w:after="140" w:line="360"/>
        <w:ind w:left="720" w:hanging="360"/>
        <w:jc w:val="both"/>
      </w:pPr>
      <w:r>
        <w:rPr>
          <w:rFonts w:ascii="Times New Roman" w:cs="Times New Roman" w:eastAsia="Times New Roman" w:hAnsi="Times New Roman"/>
        </w:rPr>
        <w:t xml:space="preserve">4. </w:t>
      </w:r>
      <w:r>
        <w:rPr>
          <w:rFonts w:ascii="Times New Roman" w:cs="Times New Roman" w:eastAsia="Times New Roman" w:hAnsi="Times New Roman"/>
          <w:b/>
          <w:bCs/>
        </w:rPr>
        <w:t xml:space="preserve">Mora y capitalización (art. 770 CCyC):</w:t>
      </w:r>
      <w:r>
        <w:rPr>
          <w:rFonts w:ascii="Times New Roman" w:cs="Times New Roman" w:eastAsia="Times New Roman" w:hAnsi="Times New Roman"/>
        </w:rPr>
        <w:t xml:space="preserve"> contratos con fórmula común de punitorios, anatocismo o capitalización contraria a la ley.</w:t>
      </w:r>
    </w:p>
    <w:p>
      <w:pPr>
        <w:spacing w:after="140" w:line="360"/>
        <w:ind w:left="720" w:hanging="360"/>
        <w:jc w:val="both"/>
      </w:pPr>
      <w:r>
        <w:rPr>
          <w:rFonts w:ascii="Times New Roman" w:cs="Times New Roman" w:eastAsia="Times New Roman" w:hAnsi="Times New Roman"/>
        </w:rPr>
        <w:t xml:space="preserve">5. </w:t>
      </w:r>
      <w:r>
        <w:rPr>
          <w:rFonts w:ascii="Times New Roman" w:cs="Times New Roman" w:eastAsia="Times New Roman" w:hAnsi="Times New Roman"/>
          <w:b/>
          <w:bCs/>
        </w:rPr>
        <w:t xml:space="preserve">Débito no consentido (art. 8 bis LDC; régimen CCT del BCRA):</w:t>
      </w:r>
      <w:r>
        <w:rPr>
          <w:rFonts w:ascii="Times New Roman" w:cs="Times New Roman" w:eastAsia="Times New Roman" w:hAnsi="Times New Roman"/>
        </w:rPr>
        <w:t xml:space="preserve"> cuotas debitadas sin consentimiento trazable, tras revocación válida o por monto distinto del autorizado.</w:t>
      </w:r>
    </w:p>
    <w:p>
      <w:pPr>
        <w:spacing w:after="140" w:line="360"/>
        <w:ind w:left="720" w:hanging="360"/>
        <w:jc w:val="both"/>
      </w:pPr>
      <w:r>
        <w:rPr>
          <w:rFonts w:ascii="Times New Roman" w:cs="Times New Roman" w:eastAsia="Times New Roman" w:hAnsi="Times New Roman"/>
        </w:rPr>
        <w:t xml:space="preserve">6. </w:t>
      </w:r>
      <w:r>
        <w:rPr>
          <w:rFonts w:ascii="Times New Roman" w:cs="Times New Roman" w:eastAsia="Times New Roman" w:hAnsi="Times New Roman"/>
          <w:b/>
          <w:bCs/>
        </w:rPr>
        <w:t xml:space="preserve">Temporales y regulatorias:</w:t>
      </w:r>
      <w:r>
        <w:rPr>
          <w:rFonts w:ascii="Times New Roman" w:cs="Times New Roman" w:eastAsia="Times New Roman" w:hAnsi="Times New Roman"/>
        </w:rPr>
        <w:t xml:space="preserve"> cohortes agrupadas por versión contractual y por la regulación vigente al momento del hecho —como mínimo, las atravesadas por las Comunicaciones BCRA «A» 7744, «A» 8203 y «A» 8433—, evitando aplicar retroactivamente una modificación posterior.</w:t>
      </w:r>
    </w:p>
    <w:p>
      <w:pPr>
        <w:pStyle w:val="Heading2"/>
        <w:keepNext/>
        <w:spacing w:after="120" w:before="240" w:line="360"/>
      </w:pPr>
      <w:r>
        <w:rPr>
          <w:rFonts w:ascii="Times New Roman" w:cs="Times New Roman" w:eastAsia="Times New Roman" w:hAnsi="Times New Roman"/>
          <w:b/>
          <w:bCs/>
          <w:sz w:val="24"/>
          <w:szCs w:val="24"/>
        </w:rPr>
        <w:t xml:space="preserve">V.4. Exclusiones</w:t>
      </w:r>
    </w:p>
    <w:p>
      <w:pPr>
        <w:spacing w:after="160" w:line="360"/>
        <w:jc w:val="both"/>
      </w:pPr>
      <w:r>
        <w:rPr>
          <w:rFonts w:ascii="Times New Roman" w:cs="Times New Roman" w:eastAsia="Times New Roman" w:hAnsi="Times New Roman"/>
        </w:rPr>
        <w:t xml:space="preserve">Quedan inicialmente excluidos: (i) los créditos destinados de manera comprobable a actividad empresarial y no al consumo final; (ii) los contratos negociados individualmente sin cláusula común relevante; (iii) los productos con garantía o estructura de riesgo materialmente distinta, salvo subclase propia; (iv) quienes cuenten con sentencia firme individual sobre el mismo objeto; y (v) los débitos válidamente consentidos respecto de los cuales no exista otra infracción.</w:t>
      </w:r>
    </w:p>
    <w:p>
      <w:pPr>
        <w:pStyle w:val="Heading2"/>
        <w:keepNext/>
        <w:spacing w:after="120" w:before="240" w:line="360"/>
      </w:pPr>
      <w:r>
        <w:rPr>
          <w:rFonts w:ascii="Times New Roman" w:cs="Times New Roman" w:eastAsia="Times New Roman" w:hAnsi="Times New Roman"/>
          <w:b/>
          <w:bCs/>
          <w:sz w:val="24"/>
          <w:szCs w:val="24"/>
        </w:rPr>
        <w:t xml:space="preserve">V.5. Representación adecuada, publicidad y registro</w:t>
      </w:r>
    </w:p>
    <w:p>
      <w:pPr>
        <w:spacing w:after="160" w:line="360"/>
        <w:jc w:val="both"/>
      </w:pPr>
      <w:r>
        <w:rPr>
          <w:rFonts w:ascii="Times New Roman" w:cs="Times New Roman" w:eastAsia="Times New Roman" w:hAnsi="Times New Roman"/>
        </w:rPr>
        <w:t xml:space="preserve">Solicitamos que V.S., previo a dar trámite, disponga: (i) la consulta al </w:t>
      </w:r>
      <w:r>
        <w:rPr>
          <w:rFonts w:ascii="Times New Roman" w:cs="Times New Roman" w:eastAsia="Times New Roman" w:hAnsi="Times New Roman"/>
          <w:b/>
          <w:bCs/>
        </w:rPr>
        <w:t xml:space="preserve">Registro Público de Procesos Colectivos</w:t>
      </w:r>
      <w:r>
        <w:rPr>
          <w:rFonts w:ascii="Times New Roman" w:cs="Times New Roman" w:eastAsia="Times New Roman" w:hAnsi="Times New Roman"/>
        </w:rPr>
        <w:t xml:space="preserve"> (Acordada CSJN 32/2014) para descartar litispendencia o superposición; (ii) la inscripción del proceso; (iii) la aprobación de un mecanismo idóneo de </w:t>
      </w:r>
      <w:r>
        <w:rPr>
          <w:rFonts w:ascii="Times New Roman" w:cs="Times New Roman" w:eastAsia="Times New Roman" w:hAnsi="Times New Roman"/>
          <w:b/>
          <w:bCs/>
        </w:rPr>
        <w:t xml:space="preserve">notificación a la clase y de exclusión (opt-out)</w:t>
      </w:r>
      <w:r>
        <w:rPr>
          <w:rFonts w:ascii="Times New Roman" w:cs="Times New Roman" w:eastAsia="Times New Roman" w:hAnsi="Times New Roman"/>
        </w:rPr>
        <w:t xml:space="preserve">; y (iv) el control de la idoneidad del representante y del patrocinio, conforme a las Acordadas CSJN 32/2014 y 12/2016. Se preservan los reclamos individuales diferenciados de quienes opten por excluirse.</w:t>
      </w:r>
    </w:p>
    <w:p>
      <w:pPr>
        <w:pStyle w:val="Heading2"/>
        <w:keepNext/>
        <w:spacing w:after="120" w:before="240" w:line="360"/>
      </w:pPr>
      <w:r>
        <w:rPr>
          <w:rFonts w:ascii="Times New Roman" w:cs="Times New Roman" w:eastAsia="Times New Roman" w:hAnsi="Times New Roman"/>
          <w:b/>
          <w:bCs/>
          <w:sz w:val="24"/>
          <w:szCs w:val="24"/>
        </w:rPr>
        <w:t xml:space="preserve">V.6. Alcance de la jurisprudencia de admisibilidad</w:t>
      </w:r>
    </w:p>
    <w:p>
      <w:pPr>
        <w:spacing w:after="160" w:line="360"/>
        <w:jc w:val="both"/>
      </w:pPr>
      <w:r>
        <w:rPr>
          <w:rFonts w:ascii="Times New Roman" w:cs="Times New Roman" w:eastAsia="Times New Roman" w:hAnsi="Times New Roman"/>
        </w:rPr>
        <w:t xml:space="preserve">Los precedentes </w:t>
      </w:r>
      <w:r>
        <w:rPr>
          <w:rFonts w:ascii="Times New Roman" w:cs="Times New Roman" w:eastAsia="Times New Roman" w:hAnsi="Times New Roman"/>
          <w:i/>
          <w:iCs/>
        </w:rPr>
        <w:t xml:space="preserve">Halabi</w:t>
      </w:r>
      <w:r>
        <w:rPr>
          <w:rFonts w:ascii="Times New Roman" w:cs="Times New Roman" w:eastAsia="Times New Roman" w:hAnsi="Times New Roman"/>
        </w:rPr>
        <w:t xml:space="preserve">, </w:t>
      </w:r>
      <w:r>
        <w:rPr>
          <w:rFonts w:ascii="Times New Roman" w:cs="Times New Roman" w:eastAsia="Times New Roman" w:hAnsi="Times New Roman"/>
          <w:i/>
          <w:iCs/>
        </w:rPr>
        <w:t xml:space="preserve">PADEC</w:t>
      </w:r>
      <w:r>
        <w:rPr>
          <w:rFonts w:ascii="Times New Roman" w:cs="Times New Roman" w:eastAsia="Times New Roman" w:hAnsi="Times New Roman"/>
        </w:rPr>
        <w:t xml:space="preserve"> y </w:t>
      </w:r>
      <w:r>
        <w:rPr>
          <w:rFonts w:ascii="Times New Roman" w:cs="Times New Roman" w:eastAsia="Times New Roman" w:hAnsi="Times New Roman"/>
          <w:i/>
          <w:iCs/>
        </w:rPr>
        <w:t xml:space="preserve">Consumidores Financieros c/ Itaú</w:t>
      </w:r>
      <w:r>
        <w:rPr>
          <w:rFonts w:ascii="Times New Roman" w:cs="Times New Roman" w:eastAsia="Times New Roman" w:hAnsi="Times New Roman"/>
        </w:rPr>
        <w:t xml:space="preserve"> sostienen la </w:t>
      </w:r>
      <w:r>
        <w:rPr>
          <w:rFonts w:ascii="Times New Roman" w:cs="Times New Roman" w:eastAsia="Times New Roman" w:hAnsi="Times New Roman"/>
          <w:b/>
          <w:bCs/>
        </w:rPr>
        <w:t xml:space="preserve">vía colectiva y la legitimación</w:t>
      </w:r>
      <w:r>
        <w:rPr>
          <w:rFonts w:ascii="Times New Roman" w:cs="Times New Roman" w:eastAsia="Times New Roman" w:hAnsi="Times New Roman"/>
        </w:rPr>
        <w:t xml:space="preserve">; no prejuzgan sobre el fondo. La abusividad, la desproporción o la omisión informativa de cada cohorte serán objeto de prueba conforme a los capítulos siguientes.</w:t>
      </w:r>
    </w:p>
    <w:p>
      <w:pPr>
        <w:pStyle w:val="Heading1"/>
        <w:keepNext/>
        <w:spacing w:after="160" w:before="320" w:line="360"/>
      </w:pPr>
      <w:r>
        <w:rPr>
          <w:rFonts w:ascii="Times New Roman" w:cs="Times New Roman" w:eastAsia="Times New Roman" w:hAnsi="Times New Roman"/>
          <w:b/>
          <w:bCs/>
          <w:sz w:val="26"/>
          <w:szCs w:val="26"/>
        </w:rPr>
        <w:t xml:space="preserve">VI. HECHOS</w:t>
      </w:r>
    </w:p>
    <w:p>
      <w:pPr>
        <w:pStyle w:val="Heading2"/>
        <w:keepNext/>
        <w:spacing w:after="120" w:before="240" w:line="360"/>
      </w:pPr>
      <w:r>
        <w:rPr>
          <w:rFonts w:ascii="Times New Roman" w:cs="Times New Roman" w:eastAsia="Times New Roman" w:hAnsi="Times New Roman"/>
          <w:b/>
          <w:bCs/>
          <w:sz w:val="24"/>
          <w:szCs w:val="24"/>
        </w:rPr>
        <w:t xml:space="preserve">VI.1. Contratación masiva, unilateral y predispuesta</w:t>
      </w:r>
    </w:p>
    <w:p>
      <w:pPr>
        <w:spacing w:after="160" w:line="360"/>
        <w:jc w:val="both"/>
      </w:pPr>
      <w:r>
        <w:rPr>
          <w:rFonts w:ascii="Times New Roman" w:cs="Times New Roman" w:eastAsia="Times New Roman" w:hAnsi="Times New Roman"/>
        </w:rPr>
        <w:t xml:space="preserve">Las financiaciones alcanzadas fueron comercializadas mediante contratos de adhesión, formularios, aplicaciones o recorridos digitales predispuestos por la/s demandada/s. Las personas consumidoras no negociaron individualmente la fórmula financiera, los cargos, el sistema de amortización, la capitalización, las consecuencias de la mora ni los mecanismos de cobro. Se trata del supuesto típico de los artículos 984 a 989 y 1117 a 1122 del CCyC y de los artículos 37 y 38 de la LDC.</w:t>
      </w:r>
    </w:p>
    <w:p>
      <w:pPr>
        <w:pStyle w:val="Heading2"/>
        <w:keepNext/>
        <w:spacing w:after="120" w:before="240" w:line="360"/>
      </w:pPr>
      <w:r>
        <w:rPr>
          <w:rFonts w:ascii="Times New Roman" w:cs="Times New Roman" w:eastAsia="Times New Roman" w:hAnsi="Times New Roman"/>
          <w:b/>
          <w:bCs/>
          <w:sz w:val="24"/>
          <w:szCs w:val="24"/>
        </w:rPr>
        <w:t xml:space="preserve">VI.2. El CFT —no la TNA— expresa el precio que debía poder comprenderse</w:t>
      </w:r>
    </w:p>
    <w:p>
      <w:pPr>
        <w:spacing w:after="160" w:line="360"/>
        <w:jc w:val="both"/>
      </w:pPr>
      <w:r>
        <w:rPr>
          <w:rFonts w:ascii="Times New Roman" w:cs="Times New Roman" w:eastAsia="Times New Roman" w:hAnsi="Times New Roman"/>
        </w:rPr>
        <w:t xml:space="preserve">El propio BCRA explica que el CFT comprende intereses, comisiones, seguros y demás cargos, y que es el indicador de cuánto se pagará realmente. La información de una TNA aislada no permite conocer el desembolso total ni comparar ofertas con distinta capitalización o estructura de cargos. El texto ordenado del BCRA sobre tasas de interés exige que, en todo documento donde aparezcan tasas o importes de intereses, se consignen la tasa anual contractual, la TEA, su carácter fijo o variable y el CFT —incluido el IVA sobre intereses para consumidores finales—, exhibido de modo destacado (al menos al doble del tamaño de la restante información; y, en publicidad que mencione cuotas o tasas, con tipografía al menos cinco veces mayor que la TNA). La consecuencia de omitir la tasa y/o el CFT no es meramente formal: las normas de protección del BCRA limitan el CFT máximo aplicable, y el artículo 36 LDC dispone que, omitida la TEA, los intereses se ajusten a la tasa pasiva anual promedio difundida por el BCRA, vigente al contratar.</w:t>
      </w:r>
    </w:p>
    <w:p>
      <w:pPr>
        <w:spacing w:after="160" w:line="360"/>
        <w:jc w:val="both"/>
      </w:pPr>
      <w:r>
        <w:rPr>
          <w:rFonts w:ascii="Times New Roman" w:cs="Times New Roman" w:eastAsia="Times New Roman" w:hAnsi="Times New Roman"/>
        </w:rPr>
        <w:t xml:space="preserve">La hipótesis a verificar en cada contrato tipo es que uno o más componentes fueron: omitidos; presentados de manera tardía o poco visible; expresados con una métrica distinta de la exigida; incluidos incorrectamente en el CFT; cobrados sin prestación efectiva; o alterados unilateralmente sin base contractual válida.</w:t>
      </w:r>
    </w:p>
    <w:p>
      <w:pPr>
        <w:pStyle w:val="Heading2"/>
        <w:keepNext/>
        <w:spacing w:after="120" w:before="240" w:line="360"/>
      </w:pPr>
      <w:r>
        <w:rPr>
          <w:rFonts w:ascii="Times New Roman" w:cs="Times New Roman" w:eastAsia="Times New Roman" w:hAnsi="Times New Roman"/>
          <w:b/>
          <w:bCs/>
          <w:sz w:val="24"/>
          <w:szCs w:val="24"/>
        </w:rPr>
        <w:t xml:space="preserve">VI.3. La medición correcta parte del dinero neto recibido y de todos los pagos</w:t>
      </w:r>
    </w:p>
    <w:p>
      <w:pPr>
        <w:spacing w:after="160" w:line="360"/>
        <w:jc w:val="both"/>
      </w:pPr>
      <w:r>
        <w:rPr>
          <w:rFonts w:ascii="Times New Roman" w:cs="Times New Roman" w:eastAsia="Times New Roman" w:hAnsi="Times New Roman"/>
        </w:rPr>
        <w:t xml:space="preserve">La demostración económica no compara rótulos (TNA, TEA, CFT, tasa real, ROA responden a preguntas distintas y no son intercambiables), sino que reconstruye el flujo real. Para cada contrato, la tasa efectiva mensual iₘ es la que iguala el dinero neto efectivamente recibido D con el valor presente de todos los pagos obligatorios Qₜ, esto es, D = Σ Qₜ / (1 + iₘ)ᵗ; y luego CFTEA = (1 + iₘ)¹² − 1. En Qₜ deben incluirse cuota, interés, seguro, comisión, impuesto, gasto de otorgamiento y todo pago exigido para obtener o mantener el crédito; los cargos retenidos al desembolsar reducen D aunque la deuda nominal se calcule sobre un capital mayor. Como se demuestra en el Anexo pericial (M-1), un cargo de retención puede elevar el costo efectivo de una operación del orden del 89,6% anual a más del 136% anual sin modificar la TNA impresa. Este método permite detectar costos invisibilizados y es el que deberá seguir la pericia.</w:t>
      </w:r>
    </w:p>
    <w:p>
      <w:pPr>
        <w:pStyle w:val="Heading2"/>
        <w:keepNext/>
        <w:spacing w:after="120" w:before="240" w:line="360"/>
      </w:pPr>
      <w:r>
        <w:rPr>
          <w:rFonts w:ascii="Times New Roman" w:cs="Times New Roman" w:eastAsia="Times New Roman" w:hAnsi="Times New Roman"/>
          <w:b/>
          <w:bCs/>
          <w:sz w:val="24"/>
          <w:szCs w:val="24"/>
        </w:rPr>
        <w:t xml:space="preserve">VI.4. Carga real elevada en el corte más reciente (cálculo verificable, no abuso probado)</w:t>
      </w:r>
    </w:p>
    <w:p>
      <w:pPr>
        <w:spacing w:after="160" w:line="360"/>
        <w:jc w:val="both"/>
      </w:pPr>
      <w:r>
        <w:rPr>
          <w:rFonts w:ascii="Times New Roman" w:cs="Times New Roman" w:eastAsia="Times New Roman" w:hAnsi="Times New Roman"/>
        </w:rPr>
        <w:t xml:space="preserve">Para julio de 2026, la serie oficial del BCRA registra una TNA promedio de </w:t>
      </w:r>
      <w:r>
        <w:rPr>
          <w:rFonts w:ascii="Times New Roman" w:cs="Times New Roman" w:eastAsia="Times New Roman" w:hAnsi="Times New Roman"/>
          <w:b/>
          <w:bCs/>
        </w:rPr>
        <w:t xml:space="preserve">65,71%</w:t>
      </w:r>
      <w:r>
        <w:rPr>
          <w:rFonts w:ascii="Times New Roman" w:cs="Times New Roman" w:eastAsia="Times New Roman" w:hAnsi="Times New Roman"/>
        </w:rPr>
        <w:t xml:space="preserve"> para préstamos personales, equivalente —bajo capitalización mensual— a una TEA de </w:t>
      </w:r>
      <w:r>
        <w:rPr>
          <w:rFonts w:ascii="Times New Roman" w:cs="Times New Roman" w:eastAsia="Times New Roman" w:hAnsi="Times New Roman"/>
          <w:b/>
          <w:bCs/>
        </w:rPr>
        <w:t xml:space="preserve">89,5988%</w:t>
      </w:r>
      <w:r>
        <w:rPr>
          <w:rFonts w:ascii="Times New Roman" w:cs="Times New Roman" w:eastAsia="Times New Roman" w:hAnsi="Times New Roman"/>
        </w:rPr>
        <w:t xml:space="preserve">. Frente a una inflación interanual nacional (INDEC) de </w:t>
      </w:r>
      <w:r>
        <w:rPr>
          <w:rFonts w:ascii="Times New Roman" w:cs="Times New Roman" w:eastAsia="Times New Roman" w:hAnsi="Times New Roman"/>
          <w:b/>
          <w:bCs/>
        </w:rPr>
        <w:t xml:space="preserve">33,8257%</w:t>
      </w:r>
      <w:r>
        <w:rPr>
          <w:rFonts w:ascii="Times New Roman" w:cs="Times New Roman" w:eastAsia="Times New Roman" w:hAnsi="Times New Roman"/>
        </w:rPr>
        <w:t xml:space="preserve">, la tasa real anual resulta de </w:t>
      </w:r>
      <w:r>
        <w:rPr>
          <w:rFonts w:ascii="Times New Roman" w:cs="Times New Roman" w:eastAsia="Times New Roman" w:hAnsi="Times New Roman"/>
          <w:b/>
          <w:bCs/>
        </w:rPr>
        <w:t xml:space="preserve">41,6759%</w:t>
      </w:r>
      <w:r>
        <w:rPr>
          <w:rFonts w:ascii="Times New Roman" w:cs="Times New Roman" w:eastAsia="Times New Roman" w:hAnsi="Times New Roman"/>
        </w:rPr>
        <w:t xml:space="preserve"> (relación de Fisher), antes de cargos. Este cálculo demuestra una carga real positiva y sustancial en el promedio agregado, pero </w:t>
      </w:r>
      <w:r>
        <w:rPr>
          <w:rFonts w:ascii="Times New Roman" w:cs="Times New Roman" w:eastAsia="Times New Roman" w:hAnsi="Times New Roman"/>
          <w:b/>
          <w:bCs/>
        </w:rPr>
        <w:t xml:space="preserve">no acredita por sí solo abuso jurídico</w:t>
      </w:r>
      <w:r>
        <w:rPr>
          <w:rFonts w:ascii="Times New Roman" w:cs="Times New Roman" w:eastAsia="Times New Roman" w:hAnsi="Times New Roman"/>
        </w:rPr>
        <w:t xml:space="preserve">: éste requiere el comparador de operaciones similares del artículo 771 y la justificación concreta de riesgo y costos.</w:t>
      </w:r>
    </w:p>
    <w:p>
      <w:pPr>
        <w:pStyle w:val="Heading2"/>
        <w:keepNext/>
        <w:spacing w:after="120" w:before="240" w:line="360"/>
      </w:pPr>
      <w:r>
        <w:rPr>
          <w:rFonts w:ascii="Times New Roman" w:cs="Times New Roman" w:eastAsia="Times New Roman" w:hAnsi="Times New Roman"/>
          <w:b/>
          <w:bCs/>
          <w:sz w:val="24"/>
          <w:szCs w:val="24"/>
        </w:rPr>
        <w:t xml:space="preserve">VI.5. Trayectoria 2023–2026 y necesidad de cohortes temporales</w:t>
      </w:r>
    </w:p>
    <w:p>
      <w:pPr>
        <w:spacing w:after="160" w:line="360"/>
        <w:jc w:val="both"/>
      </w:pPr>
      <w:r>
        <w:rPr>
          <w:rFonts w:ascii="Times New Roman" w:cs="Times New Roman" w:eastAsia="Times New Roman" w:hAnsi="Times New Roman"/>
        </w:rPr>
        <w:t xml:space="preserve">Reconstruida la serie completa desde enero de 2023 con regla constante (TNA promedio BCRA → TEA por capitalización mensual → tasa real ex post con inflación interanual INDEC), los promedios descriptivos anuales de tasa real fueron: </w:t>
      </w:r>
      <w:r>
        <w:rPr>
          <w:rFonts w:ascii="Times New Roman" w:cs="Times New Roman" w:eastAsia="Times New Roman" w:hAnsi="Times New Roman"/>
          <w:b/>
          <w:bCs/>
        </w:rPr>
        <w:t xml:space="preserve">+18,33% (2023)</w:t>
      </w:r>
      <w:r>
        <w:rPr>
          <w:rFonts w:ascii="Times New Roman" w:cs="Times New Roman" w:eastAsia="Times New Roman" w:hAnsi="Times New Roman"/>
        </w:rPr>
        <w:t xml:space="preserve">, </w:t>
      </w:r>
      <w:r>
        <w:rPr>
          <w:rFonts w:ascii="Times New Roman" w:cs="Times New Roman" w:eastAsia="Times New Roman" w:hAnsi="Times New Roman"/>
          <w:b/>
          <w:bCs/>
        </w:rPr>
        <w:t xml:space="preserve">−29,22% (2024)</w:t>
      </w:r>
      <w:r>
        <w:rPr>
          <w:rFonts w:ascii="Times New Roman" w:cs="Times New Roman" w:eastAsia="Times New Roman" w:hAnsi="Times New Roman"/>
        </w:rPr>
        <w:t xml:space="preserve">, </w:t>
      </w:r>
      <w:r>
        <w:rPr>
          <w:rFonts w:ascii="Times New Roman" w:cs="Times New Roman" w:eastAsia="Times New Roman" w:hAnsi="Times New Roman"/>
          <w:b/>
          <w:bCs/>
        </w:rPr>
        <w:t xml:space="preserve">+43,27% (2025)</w:t>
      </w:r>
      <w:r>
        <w:rPr>
          <w:rFonts w:ascii="Times New Roman" w:cs="Times New Roman" w:eastAsia="Times New Roman" w:hAnsi="Times New Roman"/>
        </w:rPr>
        <w:t xml:space="preserve"> y </w:t>
      </w:r>
      <w:r>
        <w:rPr>
          <w:rFonts w:ascii="Times New Roman" w:cs="Times New Roman" w:eastAsia="Times New Roman" w:hAnsi="Times New Roman"/>
          <w:b/>
          <w:bCs/>
        </w:rPr>
        <w:t xml:space="preserve">+45,56% (enero–julio 2026)</w:t>
      </w:r>
      <w:r>
        <w:rPr>
          <w:rFonts w:ascii="Times New Roman" w:cs="Times New Roman" w:eastAsia="Times New Roman" w:hAnsi="Times New Roman"/>
        </w:rPr>
        <w:t xml:space="preserve">. El cambio de signo es jurídicamente relevante y exige </w:t>
      </w:r>
      <w:r>
        <w:rPr>
          <w:rFonts w:ascii="Times New Roman" w:cs="Times New Roman" w:eastAsia="Times New Roman" w:hAnsi="Times New Roman"/>
          <w:b/>
          <w:bCs/>
        </w:rPr>
        <w:t xml:space="preserve">formar cohortes por fecha de contratación, versión contractual, producto y momento de cada cobro</w:t>
      </w:r>
      <w:r>
        <w:rPr>
          <w:rFonts w:ascii="Times New Roman" w:cs="Times New Roman" w:eastAsia="Times New Roman" w:hAnsi="Times New Roman"/>
        </w:rPr>
        <w:t xml:space="preserve">, en lugar de extrapolar el corte de julio de 2026 hacia atrás. Son promedios descriptivos de observaciones mensuales; no son tasas contractuales anuales, no ponderan por cantidad de deudores ni acreditan un cobro individual.</w:t>
      </w:r>
    </w:p>
    <w:p>
      <w:pPr>
        <w:pStyle w:val="Heading2"/>
        <w:keepNext/>
        <w:spacing w:after="120" w:before="240" w:line="360"/>
      </w:pPr>
      <w:r>
        <w:rPr>
          <w:rFonts w:ascii="Times New Roman" w:cs="Times New Roman" w:eastAsia="Times New Roman" w:hAnsi="Times New Roman"/>
          <w:b/>
          <w:bCs/>
          <w:sz w:val="24"/>
          <w:szCs w:val="24"/>
        </w:rPr>
        <w:t xml:space="preserve">VI.6. Indicio histórico sobre el nivel del CFT ofrecido</w:t>
      </w:r>
    </w:p>
    <w:p>
      <w:pPr>
        <w:spacing w:after="160" w:line="360"/>
        <w:jc w:val="both"/>
      </w:pPr>
      <w:r>
        <w:rPr>
          <w:rFonts w:ascii="Times New Roman" w:cs="Times New Roman" w:eastAsia="Times New Roman" w:hAnsi="Times New Roman"/>
        </w:rPr>
        <w:t xml:space="preserve">El Informe de Inclusión Financiera del BCRA correspondiente al primer semestre de 2023 informó, para junio de ese año, un </w:t>
      </w:r>
      <w:r>
        <w:rPr>
          <w:rFonts w:ascii="Times New Roman" w:cs="Times New Roman" w:eastAsia="Times New Roman" w:hAnsi="Times New Roman"/>
          <w:b/>
          <w:bCs/>
        </w:rPr>
        <w:t xml:space="preserve">CFT máximo ofrecido promedio de 321%</w:t>
      </w:r>
      <w:r>
        <w:rPr>
          <w:rFonts w:ascii="Times New Roman" w:cs="Times New Roman" w:eastAsia="Times New Roman" w:hAnsi="Times New Roman"/>
        </w:rPr>
        <w:t xml:space="preserve"> en una muestra de quince entidades con mayor cantidad de deudores. La cifra acredita que la TNA puede subestimar enormemente el precio financiero visible, y justifica obtener los CFT contractuales; no permite afirmar que una persona pagó 321% ni que la cifra siguiera vigente en 2026.</w:t>
      </w:r>
    </w:p>
    <w:p>
      <w:pPr>
        <w:pStyle w:val="Heading2"/>
        <w:keepNext/>
        <w:spacing w:after="120" w:before="240" w:line="360"/>
      </w:pPr>
      <w:r>
        <w:rPr>
          <w:rFonts w:ascii="Times New Roman" w:cs="Times New Roman" w:eastAsia="Times New Roman" w:hAnsi="Times New Roman"/>
          <w:b/>
          <w:bCs/>
          <w:sz w:val="24"/>
          <w:szCs w:val="24"/>
        </w:rPr>
        <w:t xml:space="preserve">VI.7. Declaraciones vigentes por banco y producto (Régimen de Transparencia)</w:t>
      </w:r>
    </w:p>
    <w:p>
      <w:pPr>
        <w:spacing w:after="160" w:line="360"/>
        <w:jc w:val="both"/>
      </w:pPr>
      <w:r>
        <w:rPr>
          <w:rFonts w:ascii="Times New Roman" w:cs="Times New Roman" w:eastAsia="Times New Roman" w:hAnsi="Times New Roman"/>
        </w:rPr>
        <w:t xml:space="preserve">El 30 de agosto de 2026 se obtuvieron por dos vías independientes las declaraciones oficiales del Régimen de Transparencia (2.404 registros de préstamos personales, coincidentes en ambas copias). El criterio de selección detallado en el anexo —entidad bancaria, moneda «Pesos» y CFTEA positivo— identifica </w:t>
      </w:r>
      <w:r>
        <w:rPr>
          <w:rFonts w:ascii="Times New Roman" w:cs="Times New Roman" w:eastAsia="Times New Roman" w:hAnsi="Times New Roman"/>
          <w:b/>
          <w:bCs/>
        </w:rPr>
        <w:t xml:space="preserve">505 líneas correspondientes a 46 bancos</w:t>
      </w:r>
      <w:r>
        <w:rPr>
          <w:rFonts w:ascii="Times New Roman" w:cs="Times New Roman" w:eastAsia="Times New Roman" w:hAnsi="Times New Roman"/>
        </w:rPr>
        <w:t xml:space="preserve">, con mediana no ponderada de </w:t>
      </w:r>
      <w:r>
        <w:rPr>
          <w:rFonts w:ascii="Times New Roman" w:cs="Times New Roman" w:eastAsia="Times New Roman" w:hAnsi="Times New Roman"/>
          <w:b/>
          <w:bCs/>
        </w:rPr>
        <w:t xml:space="preserve">159,12%</w:t>
      </w:r>
      <w:r>
        <w:rPr>
          <w:rFonts w:ascii="Times New Roman" w:cs="Times New Roman" w:eastAsia="Times New Roman" w:hAnsi="Times New Roman"/>
        </w:rPr>
        <w:t xml:space="preserve">, percentil 75 de </w:t>
      </w:r>
      <w:r>
        <w:rPr>
          <w:rFonts w:ascii="Times New Roman" w:cs="Times New Roman" w:eastAsia="Times New Roman" w:hAnsi="Times New Roman"/>
          <w:b/>
          <w:bCs/>
        </w:rPr>
        <w:t xml:space="preserve">234,82%</w:t>
      </w:r>
      <w:r>
        <w:rPr>
          <w:rFonts w:ascii="Times New Roman" w:cs="Times New Roman" w:eastAsia="Times New Roman" w:hAnsi="Times New Roman"/>
        </w:rPr>
        <w:t xml:space="preserve"> y percentil 90 de </w:t>
      </w:r>
      <w:r>
        <w:rPr>
          <w:rFonts w:ascii="Times New Roman" w:cs="Times New Roman" w:eastAsia="Times New Roman" w:hAnsi="Times New Roman"/>
          <w:b/>
          <w:bCs/>
        </w:rPr>
        <w:t xml:space="preserve">373,07%</w:t>
      </w:r>
      <w:r>
        <w:rPr>
          <w:rFonts w:ascii="Times New Roman" w:cs="Times New Roman" w:eastAsia="Times New Roman" w:hAnsi="Times New Roman"/>
        </w:rPr>
        <w:t xml:space="preserve">. Entre los CFTEA máximos declarados figuran:</w:t>
      </w:r>
    </w:p>
    <w:tbl>
      <w:tblPr>
        <w:tblW w:type="dxa" w:w="9400"/>
        <w:tblBorders>
          <w:top w:val="single" w:color="999999" w:sz="4"/>
          <w:left w:val="single" w:color="999999" w:sz="4"/>
          <w:bottom w:val="single" w:color="999999" w:sz="4"/>
          <w:right w:val="single" w:color="999999" w:sz="4"/>
          <w:insideH w:val="single" w:color="auto" w:sz="4"/>
          <w:insideV w:val="single" w:color="auto" w:sz="4"/>
        </w:tblBorders>
      </w:tblPr>
      <w:tblGrid>
        <w:gridCol w:w="3200"/>
        <w:gridCol w:w="3400"/>
        <w:gridCol w:w="1300"/>
        <w:gridCol w:w="1500"/>
      </w:tblGrid>
      <w:tr>
        <w:trPr>
          <w:tblHeader/>
        </w:trPr>
        <w:tc>
          <w:tcPr>
            <w:tcW w:type="dxa" w:w="3200"/>
            <w:shd w:fill="E7E7E7" w:val="clear"/>
            <w:tcMar>
              <w:top w:type="dxa" w:w="40"/>
              <w:left w:type="dxa" w:w="80"/>
              <w:bottom w:type="dxa" w:w="40"/>
              <w:right w:type="dxa" w:w="80"/>
            </w:tcMar>
          </w:tcPr>
          <w:p>
            <w:pPr>
              <w:spacing w:after="0" w:line="300"/>
              <w:jc w:val="left"/>
            </w:pPr>
            <w:r>
              <w:rPr>
                <w:rFonts w:ascii="Times New Roman" w:cs="Times New Roman" w:eastAsia="Times New Roman" w:hAnsi="Times New Roman"/>
                <w:b/>
                <w:bCs/>
                <w:sz w:val="18"/>
                <w:szCs w:val="18"/>
              </w:rPr>
              <w:t xml:space="preserve">Entidad</w:t>
            </w:r>
          </w:p>
        </w:tc>
        <w:tc>
          <w:tcPr>
            <w:tcW w:type="dxa" w:w="3400"/>
            <w:shd w:fill="E7E7E7" w:val="clear"/>
            <w:tcMar>
              <w:top w:type="dxa" w:w="40"/>
              <w:left w:type="dxa" w:w="80"/>
              <w:bottom w:type="dxa" w:w="40"/>
              <w:right w:type="dxa" w:w="80"/>
            </w:tcMar>
          </w:tcPr>
          <w:p>
            <w:pPr>
              <w:spacing w:after="0" w:line="300"/>
              <w:jc w:val="left"/>
            </w:pPr>
            <w:r>
              <w:rPr>
                <w:rFonts w:ascii="Times New Roman" w:cs="Times New Roman" w:eastAsia="Times New Roman" w:hAnsi="Times New Roman"/>
                <w:b/>
                <w:bCs/>
                <w:sz w:val="18"/>
                <w:szCs w:val="18"/>
              </w:rPr>
              <w:t xml:space="preserve">Producto/segmento</w:t>
            </w:r>
          </w:p>
        </w:tc>
        <w:tc>
          <w:tcPr>
            <w:tcW w:type="dxa" w:w="1300"/>
            <w:shd w:fill="E7E7E7" w:val="clear"/>
            <w:tcMar>
              <w:top w:type="dxa" w:w="40"/>
              <w:left w:type="dxa" w:w="80"/>
              <w:bottom w:type="dxa" w:w="40"/>
              <w:right w:type="dxa" w:w="80"/>
            </w:tcMar>
          </w:tcPr>
          <w:p>
            <w:pPr>
              <w:spacing w:after="0" w:line="300"/>
              <w:jc w:val="right"/>
            </w:pPr>
            <w:r>
              <w:rPr>
                <w:rFonts w:ascii="Times New Roman" w:cs="Times New Roman" w:eastAsia="Times New Roman" w:hAnsi="Times New Roman"/>
                <w:b/>
                <w:bCs/>
                <w:sz w:val="18"/>
                <w:szCs w:val="18"/>
              </w:rPr>
              <w:t xml:space="preserve">Fecha inf.</w:t>
            </w:r>
          </w:p>
        </w:tc>
        <w:tc>
          <w:tcPr>
            <w:tcW w:type="dxa" w:w="1500"/>
            <w:shd w:fill="E7E7E7" w:val="clear"/>
            <w:tcMar>
              <w:top w:type="dxa" w:w="40"/>
              <w:left w:type="dxa" w:w="80"/>
              <w:bottom w:type="dxa" w:w="40"/>
              <w:right w:type="dxa" w:w="80"/>
            </w:tcMar>
          </w:tcPr>
          <w:p>
            <w:pPr>
              <w:spacing w:after="0" w:line="300"/>
              <w:jc w:val="right"/>
            </w:pPr>
            <w:r>
              <w:rPr>
                <w:rFonts w:ascii="Times New Roman" w:cs="Times New Roman" w:eastAsia="Times New Roman" w:hAnsi="Times New Roman"/>
                <w:b/>
                <w:bCs/>
                <w:sz w:val="18"/>
                <w:szCs w:val="18"/>
              </w:rPr>
              <w:t xml:space="preserve">CFTEA máx.</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Masventas S.A.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Convenio VGA / AMPROMM, 12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08/06/2026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13.476,52%</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Sáenz S.A.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Consumo, 3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18/11/2025</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1.419,46%</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del Sol S.A.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Empleados públicos, 36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11/02/2026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999,99%</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Brubank S.A.U.</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Riesgo alto/muy alto, 12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21/08/2026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719,39%</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Columbia S.A.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PCD, seguridad social, 36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24/08/2026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637,00%</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Servicios Financieros Carrefour S.A.U.</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Riesgo D, 36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24/08/2026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501,84%</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Supervielle S.A.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Acreditación de sueldo, 72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21/08/2026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448,63%</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Galicia y Buenos Aires S.A.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Préstamo personal, 72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12/06/2026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398,00%</w:t>
            </w:r>
          </w:p>
        </w:tc>
      </w:tr>
      <w:tr>
        <w:tc>
          <w:tcPr>
            <w:tcW w:type="dxa" w:w="32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Banco Nación Argentina</w:t>
            </w:r>
          </w:p>
        </w:tc>
        <w:tc>
          <w:tcPr>
            <w:tcW w:type="dxa" w:w="34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Libre destino tramo IV, 72 meses</w:t>
            </w:r>
          </w:p>
        </w:tc>
        <w:tc>
          <w:tcPr>
            <w:tcW w:type="dxa" w:w="13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14/08/2026</w:t>
            </w:r>
          </w:p>
        </w:tc>
        <w:tc>
          <w:tcPr>
            <w:tcW w:type="dxa" w:w="1500"/>
            <w:tcMar>
              <w:top w:type="dxa" w:w="40"/>
              <w:left w:type="dxa" w:w="80"/>
              <w:bottom w:type="dxa" w:w="40"/>
              <w:right w:type="dxa" w:w="80"/>
            </w:tcMar>
          </w:tcPr>
          <w:p>
            <w:pPr>
              <w:spacing w:after="0" w:line="300"/>
              <w:jc w:val="right"/>
            </w:pPr>
            <w:r>
              <w:rPr>
                <w:rFonts w:ascii="Times New Roman" w:cs="Times New Roman" w:eastAsia="Times New Roman" w:hAnsi="Times New Roman"/>
                <w:b w:val="false"/>
                <w:bCs w:val="false"/>
                <w:sz w:val="18"/>
                <w:szCs w:val="18"/>
              </w:rPr>
              <w:t xml:space="preserve">186,76%</w:t>
            </w:r>
          </w:p>
        </w:tc>
      </w:tr>
    </w:tbl>
    <w:p>
      <w:pPr>
        <w:spacing w:after="160" w:line="360"/>
        <w:jc w:val="both"/>
      </w:pPr>
      <w:r>
        <w:rPr>
          <w:rFonts w:ascii="Times New Roman" w:cs="Times New Roman" w:eastAsia="Times New Roman" w:hAnsi="Times New Roman"/>
        </w:rPr>
        <w:t xml:space="preserve">Estos valores son </w:t>
      </w:r>
      <w:r>
        <w:rPr>
          <w:rFonts w:ascii="Times New Roman" w:cs="Times New Roman" w:eastAsia="Times New Roman" w:hAnsi="Times New Roman"/>
          <w:b/>
          <w:bCs/>
        </w:rPr>
        <w:t xml:space="preserve">ofertas máximas declaradas</w:t>
      </w:r>
      <w:r>
        <w:rPr>
          <w:rFonts w:ascii="Times New Roman" w:cs="Times New Roman" w:eastAsia="Times New Roman" w:hAnsi="Times New Roman"/>
        </w:rPr>
        <w:t xml:space="preserve">, no costos pagados: individualizan bancos, productos, segmentos y máximos para requerir contratos, versiones históricas, cantidad de altas y tasas efectivamente aplicadas.</w:t>
      </w:r>
    </w:p>
    <w:p>
      <w:pPr>
        <w:pStyle w:val="Heading2"/>
        <w:keepNext/>
        <w:spacing w:after="120" w:before="240" w:line="360"/>
      </w:pPr>
      <w:r>
        <w:rPr>
          <w:rFonts w:ascii="Times New Roman" w:cs="Times New Roman" w:eastAsia="Times New Roman" w:hAnsi="Times New Roman"/>
          <w:b/>
          <w:bCs/>
          <w:sz w:val="24"/>
          <w:szCs w:val="24"/>
        </w:rPr>
        <w:t xml:space="preserve">VI.8. Rentabilidad agregada y límite de inferencia</w:t>
      </w:r>
    </w:p>
    <w:p>
      <w:pPr>
        <w:spacing w:after="160" w:line="360"/>
        <w:jc w:val="both"/>
      </w:pPr>
      <w:r>
        <w:rPr>
          <w:rFonts w:ascii="Times New Roman" w:cs="Times New Roman" w:eastAsia="Times New Roman" w:hAnsi="Times New Roman"/>
        </w:rPr>
        <w:t xml:space="preserve">En mayo de 2026 el BCRA informó un ROA del sistema financiero de 1,1% (doce meses) y 2,2% anualizado (tres meses): rentabilidad contable agregada positiva. Ese dato </w:t>
      </w:r>
      <w:r>
        <w:rPr>
          <w:rFonts w:ascii="Times New Roman" w:cs="Times New Roman" w:eastAsia="Times New Roman" w:hAnsi="Times New Roman"/>
          <w:b/>
          <w:bCs/>
        </w:rPr>
        <w:t xml:space="preserve">no</w:t>
      </w:r>
      <w:r>
        <w:rPr>
          <w:rFonts w:ascii="Times New Roman" w:cs="Times New Roman" w:eastAsia="Times New Roman" w:hAnsi="Times New Roman"/>
        </w:rPr>
        <w:t xml:space="preserve"> acredita el monto de ganancia de cada entidad, ni que provenga de los hogares, ni que una cartera particular haya sido rentable. El propio informe reportó mora de </w:t>
      </w:r>
      <w:r>
        <w:rPr>
          <w:rFonts w:ascii="Times New Roman" w:cs="Times New Roman" w:eastAsia="Times New Roman" w:hAnsi="Times New Roman"/>
          <w:b/>
          <w:bCs/>
        </w:rPr>
        <w:t xml:space="preserve">12,8%</w:t>
      </w:r>
      <w:r>
        <w:rPr>
          <w:rFonts w:ascii="Times New Roman" w:cs="Times New Roman" w:eastAsia="Times New Roman" w:hAnsi="Times New Roman"/>
        </w:rPr>
        <w:t xml:space="preserve"> en financiaciones a familias y previsiones por </w:t>
      </w:r>
      <w:r>
        <w:rPr>
          <w:rFonts w:ascii="Times New Roman" w:cs="Times New Roman" w:eastAsia="Times New Roman" w:hAnsi="Times New Roman"/>
          <w:b/>
          <w:bCs/>
        </w:rPr>
        <w:t xml:space="preserve">86,3%</w:t>
      </w:r>
      <w:r>
        <w:rPr>
          <w:rFonts w:ascii="Times New Roman" w:cs="Times New Roman" w:eastAsia="Times New Roman" w:hAnsi="Times New Roman"/>
        </w:rPr>
        <w:t xml:space="preserve"> de la cartera irregular; esos costos, junto con fondeo, encajes, gastos, impuestos y capital, deben computarse antes de atribuir margen. En el cruce de 46 entidades a mayo de 2026, 32 mostraron resultado neto estimado positivo y 14 negativo; entre las diez de mayor CFTEA máximo, tres positivas y siete negativas. La conclusión es doble: una tasa extrema puede ser abusiva o mal informada aun con pérdida agregada del banco; y un resultado positivo no prueba que provenga de los préstamos personales. Por ello la prueba decisiva es la contabilidad por producto, cohorte y contrato.</w:t>
      </w:r>
    </w:p>
    <w:p>
      <w:pPr>
        <w:pStyle w:val="Heading2"/>
        <w:keepNext/>
        <w:spacing w:after="120" w:before="240" w:line="360"/>
      </w:pPr>
      <w:r>
        <w:rPr>
          <w:rFonts w:ascii="Times New Roman" w:cs="Times New Roman" w:eastAsia="Times New Roman" w:hAnsi="Times New Roman"/>
          <w:b/>
          <w:bCs/>
          <w:sz w:val="24"/>
          <w:szCs w:val="24"/>
        </w:rPr>
        <w:t xml:space="preserve">VI.9. Panel contable público 2023–2026: el ingreso bruto del producto ya es público</w:t>
      </w:r>
    </w:p>
    <w:p>
      <w:pPr>
        <w:spacing w:after="160" w:line="360"/>
        <w:jc w:val="both"/>
      </w:pPr>
      <w:r>
        <w:rPr>
          <w:rFonts w:ascii="Times New Roman" w:cs="Times New Roman" w:eastAsia="Times New Roman" w:hAnsi="Times New Roman"/>
        </w:rPr>
        <w:t xml:space="preserve">El panel longitudinal (523 filas entidad–corte; siete cortes entre septiembre de 2023 y mayo de 2026) extrae, por código de cuenta, la cuenta específica </w:t>
      </w:r>
      <w:r>
        <w:rPr>
          <w:rFonts w:ascii="Times New Roman" w:cs="Times New Roman" w:eastAsia="Times New Roman" w:hAnsi="Times New Roman"/>
          <w:b/>
          <w:bCs/>
        </w:rPr>
        <w:t xml:space="preserve">511107/515107 «Intereses por préstamos personales»</w:t>
      </w:r>
      <w:r>
        <w:rPr>
          <w:rFonts w:ascii="Times New Roman" w:cs="Times New Roman" w:eastAsia="Times New Roman" w:hAnsi="Times New Roman"/>
        </w:rPr>
        <w:t xml:space="preserve">, que permite medir ingreso financiero </w:t>
      </w:r>
      <w:r>
        <w:rPr>
          <w:rFonts w:ascii="Times New Roman" w:cs="Times New Roman" w:eastAsia="Times New Roman" w:hAnsi="Times New Roman"/>
          <w:b/>
          <w:bCs/>
        </w:rPr>
        <w:t xml:space="preserve">bruto</w:t>
      </w:r>
      <w:r>
        <w:rPr>
          <w:rFonts w:ascii="Times New Roman" w:cs="Times New Roman" w:eastAsia="Times New Roman" w:hAnsi="Times New Roman"/>
        </w:rPr>
        <w:t xml:space="preserve"> del producto sin confundirlo con el resultado neto de la entidad. La participación de personales en el activo del agregado AA000 pasó de </w:t>
      </w:r>
      <w:r>
        <w:rPr>
          <w:rFonts w:ascii="Times New Roman" w:cs="Times New Roman" w:eastAsia="Times New Roman" w:hAnsi="Times New Roman"/>
          <w:b/>
          <w:bCs/>
        </w:rPr>
        <w:t xml:space="preserve">1,95% (dic. 2023) a 6,31% (may. 2026)</w:t>
      </w:r>
      <w:r>
        <w:rPr>
          <w:rFonts w:ascii="Times New Roman" w:cs="Times New Roman" w:eastAsia="Times New Roman" w:hAnsi="Times New Roman"/>
        </w:rPr>
        <w:t xml:space="preserve">, mientras la irregularidad de consumo pasó de 2,75% a 12,58%. La suma de intereses brutos por personales pasó de $1,637 billones (2023) a $10,095 billones (2025), en pesos corrientes y sin deflactar: es ingreso bruto, </w:t>
      </w:r>
      <w:r>
        <w:rPr>
          <w:rFonts w:ascii="Times New Roman" w:cs="Times New Roman" w:eastAsia="Times New Roman" w:hAnsi="Times New Roman"/>
          <w:b/>
          <w:bCs/>
        </w:rPr>
        <w:t xml:space="preserve">no</w:t>
      </w:r>
      <w:r>
        <w:rPr>
          <w:rFonts w:ascii="Times New Roman" w:cs="Times New Roman" w:eastAsia="Times New Roman" w:hAnsi="Times New Roman"/>
        </w:rPr>
        <w:t xml:space="preserve"> ganancia neta, que requiere asignar fondeo, pérdida esperada y observada, gastos, impuestos y capital por cartera y cohorte. Tampoco una pérdida total sanea un cargo indebido, una omisión informativa o un interés desproporcionado.</w:t>
      </w:r>
    </w:p>
    <w:p>
      <w:pPr>
        <w:pStyle w:val="Heading2"/>
        <w:keepNext/>
        <w:spacing w:after="120" w:before="240" w:line="360"/>
      </w:pPr>
      <w:r>
        <w:rPr>
          <w:rFonts w:ascii="Times New Roman" w:cs="Times New Roman" w:eastAsia="Times New Roman" w:hAnsi="Times New Roman"/>
          <w:b/>
          <w:bCs/>
          <w:sz w:val="24"/>
          <w:szCs w:val="24"/>
        </w:rPr>
        <w:t xml:space="preserve">VI.10. Débitos de cuotas: no equivalen a embargo</w:t>
      </w:r>
    </w:p>
    <w:p>
      <w:pPr>
        <w:spacing w:after="160" w:line="360"/>
        <w:jc w:val="both"/>
      </w:pPr>
      <w:r>
        <w:rPr>
          <w:rFonts w:ascii="Times New Roman" w:cs="Times New Roman" w:eastAsia="Times New Roman" w:hAnsi="Times New Roman"/>
        </w:rPr>
        <w:t xml:space="preserve">Un débito bancario o un Cobro de Cuotas con Transferencia (CCT) </w:t>
      </w:r>
      <w:r>
        <w:rPr>
          <w:rFonts w:ascii="Times New Roman" w:cs="Times New Roman" w:eastAsia="Times New Roman" w:hAnsi="Times New Roman"/>
          <w:b/>
          <w:bCs/>
        </w:rPr>
        <w:t xml:space="preserve">no es un embargo judicial</w:t>
      </w:r>
      <w:r>
        <w:rPr>
          <w:rFonts w:ascii="Times New Roman" w:cs="Times New Roman" w:eastAsia="Times New Roman" w:hAnsi="Times New Roman"/>
        </w:rPr>
        <w:t xml:space="preserve">; el embargo requiere orden judicial. El régimen CCT del BCRA exige consentimiento expreso, información previa y posibilidad de revocación. Sólo corresponde impugnar débitos concretos cuando falte consentimiento válido, se frustre la revocación, se incumpla el aviso, se exceda la cuota autorizada o se utilice apariencia de reclamo judicial (art. 8 bis LDC). No se afirma como hecho que se «embargue el sueldo sin juicio».</w:t>
      </w:r>
    </w:p>
    <w:p>
      <w:pPr>
        <w:pStyle w:val="Heading2"/>
        <w:keepNext/>
        <w:spacing w:after="120" w:before="240" w:line="360"/>
      </w:pPr>
      <w:r>
        <w:rPr>
          <w:rFonts w:ascii="Times New Roman" w:cs="Times New Roman" w:eastAsia="Times New Roman" w:hAnsi="Times New Roman"/>
          <w:b/>
          <w:bCs/>
          <w:sz w:val="24"/>
          <w:szCs w:val="24"/>
        </w:rPr>
        <w:t xml:space="preserve">VI.11. El sistema regulatorio conserva el rastro del patrón</w:t>
      </w:r>
    </w:p>
    <w:p>
      <w:pPr>
        <w:spacing w:after="160" w:line="360"/>
        <w:jc w:val="both"/>
      </w:pPr>
      <w:r>
        <w:rPr>
          <w:rFonts w:ascii="Times New Roman" w:cs="Times New Roman" w:eastAsia="Times New Roman" w:hAnsi="Times New Roman"/>
        </w:rPr>
        <w:t xml:space="preserve">Las normas de protección al usuario obligan a cada entidad a: registrar en base única y centralizada los reclamos (RCCR) y conservarla diez años; mantener registros de reintegros (RRI) y de denuncias judiciales/administrativas (RDJA); elevar reportes trimestrales con temas, cantidades, montos, productos, sucursales y propuestas correctivas; someter el sistema a auditoría interna; analizar causas generadoras ante posible afectación de un conjunto de usuarios; y, constatado un cobro indebido, </w:t>
      </w:r>
      <w:r>
        <w:rPr>
          <w:rFonts w:ascii="Times New Roman" w:cs="Times New Roman" w:eastAsia="Times New Roman" w:hAnsi="Times New Roman"/>
          <w:b/>
          <w:bCs/>
        </w:rPr>
        <w:t xml:space="preserve">verificar si alcanzó a otros usuarios y reintegrarles</w:t>
      </w:r>
      <w:r>
        <w:rPr>
          <w:rFonts w:ascii="Times New Roman" w:cs="Times New Roman" w:eastAsia="Times New Roman" w:hAnsi="Times New Roman"/>
        </w:rPr>
        <w:t xml:space="preserve">. El BCRA accede regulatoriamente a esos registros. Por ello, una negativa genérica de inexistencia de patrón podrá contrastarse con documentación contemporánea creada bajo deber regulatorio. El Informe PUSF 2025 (769.500 reclamos mensuales promedio; 64% de resolución favorable consolidada; 60% en «Préstamos»; 74% en «Cargos/comisiones no procedentes») </w:t>
      </w:r>
      <w:r>
        <w:rPr>
          <w:rFonts w:ascii="Times New Roman" w:cs="Times New Roman" w:eastAsia="Times New Roman" w:hAnsi="Times New Roman"/>
          <w:b/>
          <w:bCs/>
        </w:rPr>
        <w:t xml:space="preserve">no prueba frecuencia de abuso</w:t>
      </w:r>
      <w:r>
        <w:rPr>
          <w:rFonts w:ascii="Times New Roman" w:cs="Times New Roman" w:eastAsia="Times New Roman" w:hAnsi="Times New Roman"/>
        </w:rPr>
        <w:t xml:space="preserve">, pero justifica requerir el desglose regulatorio preexistente por demandada y producto.</w:t>
      </w:r>
    </w:p>
    <w:p>
      <w:pPr>
        <w:pStyle w:val="Heading2"/>
        <w:keepNext/>
        <w:spacing w:after="120" w:before="240" w:line="360"/>
      </w:pPr>
      <w:r>
        <w:rPr>
          <w:rFonts w:ascii="Times New Roman" w:cs="Times New Roman" w:eastAsia="Times New Roman" w:hAnsi="Times New Roman"/>
          <w:b/>
          <w:bCs/>
          <w:sz w:val="24"/>
          <w:szCs w:val="24"/>
        </w:rPr>
        <w:t xml:space="preserve">VI.12. Caso de autenticación prioritaria: Banco Masventas</w:t>
      </w:r>
    </w:p>
    <w:p>
      <w:pPr>
        <w:spacing w:after="160" w:line="360"/>
        <w:jc w:val="both"/>
      </w:pPr>
      <w:r>
        <w:rPr>
          <w:rFonts w:ascii="Times New Roman" w:cs="Times New Roman" w:eastAsia="Times New Roman" w:hAnsi="Times New Roman"/>
        </w:rPr>
        <w:t xml:space="preserve">La fuente pública del BCRA contiene cuatro líneas «VGA / AMPROMM» (actualizadas el 08/06/2026) con CFTEA máximo de </w:t>
      </w:r>
      <w:r>
        <w:rPr>
          <w:rFonts w:ascii="Times New Roman" w:cs="Times New Roman" w:eastAsia="Times New Roman" w:hAnsi="Times New Roman"/>
          <w:b/>
          <w:bCs/>
        </w:rPr>
        <w:t xml:space="preserve">13.476,52%</w:t>
      </w:r>
      <w:r>
        <w:rPr>
          <w:rFonts w:ascii="Times New Roman" w:cs="Times New Roman" w:eastAsia="Times New Roman" w:hAnsi="Times New Roman"/>
        </w:rPr>
        <w:t xml:space="preserve">, presentes en ambas copias oficiales. El tarifario propio de Banco Masventas, vigente desde el 05/08/2026, muestra para préstamos personales CFTEA con IVA de entre 102,43% y 274,40%, sin las denominaciones VGA/AMPROMM: el máximo del BCRA es unas </w:t>
      </w:r>
      <w:r>
        <w:rPr>
          <w:rFonts w:ascii="Times New Roman" w:cs="Times New Roman" w:eastAsia="Times New Roman" w:hAnsi="Times New Roman"/>
          <w:b/>
          <w:bCs/>
        </w:rPr>
        <w:t xml:space="preserve">49 veces</w:t>
      </w:r>
      <w:r>
        <w:rPr>
          <w:rFonts w:ascii="Times New Roman" w:cs="Times New Roman" w:eastAsia="Times New Roman" w:hAnsi="Times New Roman"/>
        </w:rPr>
        <w:t xml:space="preserve"> el máximo visible en su tarifario posterior. La discrepancia </w:t>
      </w:r>
      <w:r>
        <w:rPr>
          <w:rFonts w:ascii="Times New Roman" w:cs="Times New Roman" w:eastAsia="Times New Roman" w:hAnsi="Times New Roman"/>
          <w:b/>
          <w:bCs/>
        </w:rPr>
        <w:t xml:space="preserve">no acredita cobro ni falsedad</w:t>
      </w:r>
      <w:r>
        <w:rPr>
          <w:rFonts w:ascii="Times New Roman" w:cs="Times New Roman" w:eastAsia="Times New Roman" w:hAnsi="Times New Roman"/>
        </w:rPr>
        <w:t xml:space="preserve">, pero configura una inconsistencia objetiva y verificable que exige que banco y regulador informen definición del producto, fórmula, versiones históricas, rectificaciones, responsable de la declaración jurada y cantidad de contratos efectivamente celebrados. Este caso se clasifica como </w:t>
      </w:r>
      <w:r>
        <w:rPr>
          <w:rFonts w:ascii="Times New Roman" w:cs="Times New Roman" w:eastAsia="Times New Roman" w:hAnsi="Times New Roman"/>
          <w:b/>
          <w:bCs/>
        </w:rPr>
        <w:t xml:space="preserve">prueba amarilla</w:t>
      </w:r>
      <w:r>
        <w:rPr>
          <w:rFonts w:ascii="Times New Roman" w:cs="Times New Roman" w:eastAsia="Times New Roman" w:hAnsi="Times New Roman"/>
        </w:rPr>
        <w:t xml:space="preserve"> (inconsistencia fuerte, rastro identificado, pero sin contratos ni universo): no se lo presenta como cobro.</w:t>
      </w:r>
    </w:p>
    <w:p>
      <w:pPr>
        <w:pStyle w:val="Heading1"/>
        <w:keepNext/>
        <w:spacing w:after="160" w:before="320" w:line="360"/>
      </w:pPr>
      <w:r>
        <w:rPr>
          <w:rFonts w:ascii="Times New Roman" w:cs="Times New Roman" w:eastAsia="Times New Roman" w:hAnsi="Times New Roman"/>
          <w:b/>
          <w:bCs/>
          <w:sz w:val="26"/>
          <w:szCs w:val="26"/>
        </w:rPr>
        <w:t xml:space="preserve">VII. DERECHO</w:t>
      </w:r>
    </w:p>
    <w:p>
      <w:pPr>
        <w:pStyle w:val="Heading2"/>
        <w:keepNext/>
        <w:spacing w:after="120" w:before="240" w:line="360"/>
      </w:pPr>
      <w:r>
        <w:rPr>
          <w:rFonts w:ascii="Times New Roman" w:cs="Times New Roman" w:eastAsia="Times New Roman" w:hAnsi="Times New Roman"/>
          <w:b/>
          <w:bCs/>
          <w:sz w:val="24"/>
          <w:szCs w:val="24"/>
        </w:rPr>
        <w:t xml:space="preserve">VII.1. Marco constitucional</w:t>
      </w:r>
    </w:p>
    <w:p>
      <w:pPr>
        <w:spacing w:after="160" w:line="360"/>
        <w:jc w:val="both"/>
      </w:pPr>
      <w:r>
        <w:rPr>
          <w:rFonts w:ascii="Times New Roman" w:cs="Times New Roman" w:eastAsia="Times New Roman" w:hAnsi="Times New Roman"/>
        </w:rPr>
        <w:t xml:space="preserve">El artículo 42 CN protege los intereses económicos de consumidores y usuarios, su derecho a una información adecuada y veraz, la libertad de elección y el trato equitativo y digno. El artículo 43 CN reconoce legitimación colectiva al afectado, al Defensor del Pueblo y a las asociaciones registradas para la tutela de derechos de incidencia colectiva. Una elección sólo es económicamente libre cuando el precio total puede conocerse y compararse antes de obligarse; en el crédito estandarizado media una asimetría estructural entre el proveedor —que diseña la fórmula, clasifica el riesgo, controla el flujo y conoce su costo— y la persona consumidora, que suele decidir bajo urgencia y observa sólo una cuota o una TNA.</w:t>
      </w:r>
    </w:p>
    <w:p>
      <w:pPr>
        <w:pStyle w:val="Heading2"/>
        <w:keepNext/>
        <w:spacing w:after="120" w:before="240" w:line="360"/>
      </w:pPr>
      <w:r>
        <w:rPr>
          <w:rFonts w:ascii="Times New Roman" w:cs="Times New Roman" w:eastAsia="Times New Roman" w:hAnsi="Times New Roman"/>
          <w:b/>
          <w:bCs/>
          <w:sz w:val="24"/>
          <w:szCs w:val="24"/>
        </w:rPr>
        <w:t xml:space="preserve">VII.2. Deber de información y crédito para consumo (arts. 4 y 36 LDC; 1388 y 1389 CCyC)</w:t>
      </w:r>
    </w:p>
    <w:p>
      <w:pPr>
        <w:spacing w:after="160" w:line="360"/>
        <w:jc w:val="both"/>
      </w:pPr>
      <w:r>
        <w:rPr>
          <w:rFonts w:ascii="Times New Roman" w:cs="Times New Roman" w:eastAsia="Times New Roman" w:hAnsi="Times New Roman"/>
        </w:rPr>
        <w:t xml:space="preserve">Los artículos 4 y 36 LDC obligan a informar de modo cierto, claro y detallado; en las operaciones financieras para consumo, el documento debe contener, </w:t>
      </w:r>
      <w:r>
        <w:rPr>
          <w:rFonts w:ascii="Times New Roman" w:cs="Times New Roman" w:eastAsia="Times New Roman" w:hAnsi="Times New Roman"/>
          <w:b/>
          <w:bCs/>
        </w:rPr>
        <w:t xml:space="preserve">bajo pena de nulidad</w:t>
      </w:r>
      <w:r>
        <w:rPr>
          <w:rFonts w:ascii="Times New Roman" w:cs="Times New Roman" w:eastAsia="Times New Roman" w:hAnsi="Times New Roman"/>
        </w:rPr>
        <w:t xml:space="preserve">, el monto financiado, la TEA, el total de intereses o CFT, la amortización, la cantidad y el monto de los pagos y los gastos extras. Omitida la TEA, la ley ordena ajustar los intereses a la tasa pasiva anual promedio del BCRA vigente al contratar. Los artículos 1388 y 1389 CCyC complementan la tutela: no puede exigirse suma alguna no prevista; no pueden cobrarse comisiones o costos por servicios no prestados; los costos omitidos o mal incluidos en el CFT se tienen por no escritos; y son nulos los contratos de crédito sin la información legal esencial.</w:t>
      </w:r>
    </w:p>
    <w:p>
      <w:pPr>
        <w:spacing w:after="160" w:line="360"/>
        <w:jc w:val="both"/>
      </w:pPr>
      <w:r>
        <w:rPr>
          <w:rFonts w:ascii="Times New Roman" w:cs="Times New Roman" w:eastAsia="Times New Roman" w:hAnsi="Times New Roman"/>
        </w:rPr>
        <w:t xml:space="preserve">En sede provincial se ha aplicado consistentemente esta tutela: la Cám. Civ. y Com. de San Isidro, Sala I, en </w:t>
      </w:r>
      <w:r>
        <w:rPr>
          <w:rFonts w:ascii="Times New Roman" w:cs="Times New Roman" w:eastAsia="Times New Roman" w:hAnsi="Times New Roman"/>
          <w:b/>
          <w:bCs/>
        </w:rPr>
        <w:t xml:space="preserve">«Banco Macro S.A. c/ Fraschini»</w:t>
      </w:r>
      <w:r>
        <w:rPr>
          <w:rFonts w:ascii="Times New Roman" w:cs="Times New Roman" w:eastAsia="Times New Roman" w:hAnsi="Times New Roman"/>
        </w:rPr>
        <w:t xml:space="preserve"> (26/12/2018), ante la omisión de la TEA, confirmó la aplicación de la tasa pasiva promedio del artículo 36 LDC; la Cám. Civ. y Com. de Mar del Plata, Sala II, en </w:t>
      </w:r>
      <w:r>
        <w:rPr>
          <w:rFonts w:ascii="Times New Roman" w:cs="Times New Roman" w:eastAsia="Times New Roman" w:hAnsi="Times New Roman"/>
          <w:b/>
          <w:bCs/>
        </w:rPr>
        <w:t xml:space="preserve">«Finanpro S.R.L. c/ Alcaire Petto»</w:t>
      </w:r>
      <w:r>
        <w:rPr>
          <w:rFonts w:ascii="Times New Roman" w:cs="Times New Roman" w:eastAsia="Times New Roman" w:hAnsi="Times New Roman"/>
        </w:rPr>
        <w:t xml:space="preserve"> (09/10/2019), exigió comparar operaciones semejantes, redujo compensatorios y ordenó aplicarlos sobre saldo y no sobre capital ya amortizado, registrando además la omisión del CFT; y la Cám. Civ. y Com. de San Martín, Sala III, en </w:t>
      </w:r>
      <w:r>
        <w:rPr>
          <w:rFonts w:ascii="Times New Roman" w:cs="Times New Roman" w:eastAsia="Times New Roman" w:hAnsi="Times New Roman"/>
          <w:b/>
          <w:bCs/>
        </w:rPr>
        <w:t xml:space="preserve">«Banco de la Provincia de Buenos Aires c/ Correa»</w:t>
      </w:r>
      <w:r>
        <w:rPr>
          <w:rFonts w:ascii="Times New Roman" w:cs="Times New Roman" w:eastAsia="Times New Roman" w:hAnsi="Times New Roman"/>
        </w:rPr>
        <w:t xml:space="preserve"> (22/05/2025), declaró inhábil el título ejecutivo por no discriminar suficientemente el monto y la composición de los pagos, aun mencionando CFT y sistema de amortización.</w:t>
      </w:r>
    </w:p>
    <w:p>
      <w:pPr>
        <w:pStyle w:val="Heading2"/>
        <w:keepNext/>
        <w:spacing w:after="120" w:before="240" w:line="360"/>
      </w:pPr>
      <w:r>
        <w:rPr>
          <w:rFonts w:ascii="Times New Roman" w:cs="Times New Roman" w:eastAsia="Times New Roman" w:hAnsi="Times New Roman"/>
          <w:b/>
          <w:bCs/>
          <w:sz w:val="24"/>
          <w:szCs w:val="24"/>
        </w:rPr>
        <w:t xml:space="preserve">VII.3. Cláusulas abusivas, buena fe y abuso del derecho (arts. 9, 10, 984–989, 1117–1122 CCyC; 37 y 38 LDC)</w:t>
      </w:r>
    </w:p>
    <w:p>
      <w:pPr>
        <w:spacing w:after="160" w:line="360"/>
        <w:jc w:val="both"/>
      </w:pPr>
      <w:r>
        <w:rPr>
          <w:rFonts w:ascii="Times New Roman" w:cs="Times New Roman" w:eastAsia="Times New Roman" w:hAnsi="Times New Roman"/>
        </w:rPr>
        <w:t xml:space="preserve">Los artículos 9 y 10 CCyC imponen la buena fe y vedan el ejercicio abusivo de los derechos; los artículos 37 y 38 LDC y 984 a 989 y 1117 a 1122 CCyC permiten tener por no convenidas las cláusulas predispuestas que desnaturalizan obligaciones, restringen derechos, amplían injustificadamente los del proveedor o generan un desequilibrio significativo. La mera transparencia formal no sanea una cláusula sustancialmente abusiva; a la inversa, una tasa elevada no basta sin acreditar la desproporción, la falta de justificación y el comparador correcto.</w:t>
      </w:r>
    </w:p>
    <w:p>
      <w:pPr>
        <w:spacing w:after="160" w:line="360"/>
        <w:jc w:val="both"/>
      </w:pPr>
      <w:r>
        <w:rPr>
          <w:rFonts w:ascii="Times New Roman" w:cs="Times New Roman" w:eastAsia="Times New Roman" w:hAnsi="Times New Roman"/>
        </w:rPr>
        <w:t xml:space="preserve">La Corte Suprema, en </w:t>
      </w:r>
      <w:r>
        <w:rPr>
          <w:rFonts w:ascii="Times New Roman" w:cs="Times New Roman" w:eastAsia="Times New Roman" w:hAnsi="Times New Roman"/>
          <w:b/>
          <w:bCs/>
        </w:rPr>
        <w:t xml:space="preserve">«Prevención, Asesoramiento y Defensa del Consumidor c/ BankBoston N.A.»</w:t>
      </w:r>
      <w:r>
        <w:rPr>
          <w:rFonts w:ascii="Times New Roman" w:cs="Times New Roman" w:eastAsia="Times New Roman" w:hAnsi="Times New Roman"/>
        </w:rPr>
        <w:t xml:space="preserve"> (Fallos 340:172, 14/03/2017), caracterizó al consumidor bancario como sujeto de vulnerabilidad estructural, y estableció que la aprobación de un cargo por el BCRA </w:t>
      </w:r>
      <w:r>
        <w:rPr>
          <w:rFonts w:ascii="Times New Roman" w:cs="Times New Roman" w:eastAsia="Times New Roman" w:hAnsi="Times New Roman"/>
          <w:b/>
          <w:bCs/>
        </w:rPr>
        <w:t xml:space="preserve">no impide</w:t>
      </w:r>
      <w:r>
        <w:rPr>
          <w:rFonts w:ascii="Times New Roman" w:cs="Times New Roman" w:eastAsia="Times New Roman" w:hAnsi="Times New Roman"/>
        </w:rPr>
        <w:t xml:space="preserve"> el control judicial de abusividad, que una cláusula inicialmente lícita puede devenir abusiva por su evolución económica, y que las cláusulas abusivas </w:t>
      </w:r>
      <w:r>
        <w:rPr>
          <w:rFonts w:ascii="Times New Roman" w:cs="Times New Roman" w:eastAsia="Times New Roman" w:hAnsi="Times New Roman"/>
          <w:b/>
          <w:bCs/>
        </w:rPr>
        <w:t xml:space="preserve">no se sanean por consentimiento tácito</w:t>
      </w:r>
      <w:r>
        <w:rPr>
          <w:rFonts w:ascii="Times New Roman" w:cs="Times New Roman" w:eastAsia="Times New Roman" w:hAnsi="Times New Roman"/>
        </w:rPr>
        <w:t xml:space="preserve">. El precedente neutraliza dos defensas anticipables: «lo permitió el regulador» y «el cliente no objetó».</w:t>
      </w:r>
    </w:p>
    <w:p>
      <w:pPr>
        <w:pStyle w:val="Heading2"/>
        <w:keepNext/>
        <w:spacing w:after="120" w:before="240" w:line="360"/>
      </w:pPr>
      <w:r>
        <w:rPr>
          <w:rFonts w:ascii="Times New Roman" w:cs="Times New Roman" w:eastAsia="Times New Roman" w:hAnsi="Times New Roman"/>
          <w:b/>
          <w:bCs/>
          <w:sz w:val="24"/>
          <w:szCs w:val="24"/>
        </w:rPr>
        <w:t xml:space="preserve">VII.4. Reducción judicial de intereses (art. 771 CCyC)</w:t>
      </w:r>
    </w:p>
    <w:p>
      <w:pPr>
        <w:spacing w:after="160" w:line="360"/>
        <w:jc w:val="both"/>
      </w:pPr>
      <w:r>
        <w:rPr>
          <w:rFonts w:ascii="Times New Roman" w:cs="Times New Roman" w:eastAsia="Times New Roman" w:hAnsi="Times New Roman"/>
        </w:rPr>
        <w:t xml:space="preserve">El artículo 771 CCyC permite reducir los intereses cuando la tasa fijada o el resultado de capitalizarlos exceda, </w:t>
      </w:r>
      <w:r>
        <w:rPr>
          <w:rFonts w:ascii="Times New Roman" w:cs="Times New Roman" w:eastAsia="Times New Roman" w:hAnsi="Times New Roman"/>
          <w:b/>
          <w:bCs/>
        </w:rPr>
        <w:t xml:space="preserve">sin justificación y desproporcionadamente</w:t>
      </w:r>
      <w:r>
        <w:rPr>
          <w:rFonts w:ascii="Times New Roman" w:cs="Times New Roman" w:eastAsia="Times New Roman" w:hAnsi="Times New Roman"/>
        </w:rPr>
        <w:t xml:space="preserve">, el costo medio del dinero para deudores y operaciones similares en el lugar de contratación; los intereses pagados en exceso se imputan al capital y, extinguido éste, pueden repetirse. La inflación es un control económico relevante para medir la carga real, pero </w:t>
      </w:r>
      <w:r>
        <w:rPr>
          <w:rFonts w:ascii="Times New Roman" w:cs="Times New Roman" w:eastAsia="Times New Roman" w:hAnsi="Times New Roman"/>
          <w:b/>
          <w:bCs/>
        </w:rPr>
        <w:t xml:space="preserve">no reemplaza</w:t>
      </w:r>
      <w:r>
        <w:rPr>
          <w:rFonts w:ascii="Times New Roman" w:cs="Times New Roman" w:eastAsia="Times New Roman" w:hAnsi="Times New Roman"/>
        </w:rPr>
        <w:t xml:space="preserve"> el comparador legal de operaciones similares.</w:t>
      </w:r>
    </w:p>
    <w:p>
      <w:pPr>
        <w:spacing w:after="160" w:line="360"/>
        <w:jc w:val="both"/>
      </w:pPr>
      <w:r>
        <w:rPr>
          <w:rFonts w:ascii="Times New Roman" w:cs="Times New Roman" w:eastAsia="Times New Roman" w:hAnsi="Times New Roman"/>
        </w:rPr>
        <w:t xml:space="preserve">El comparador exige ubicar cada contrato en una celda homogénea por fecha, moneda, monto, plazo, garantía, canal, perfil de riesgo, relación salarial y mora esperada, y medir la distancia multiplicativa respecto de la mediana o el promedio ponderado del CFT contratado en esa celda. La Suprema Corte de Buenos Aires, en </w:t>
      </w:r>
      <w:r>
        <w:rPr>
          <w:rFonts w:ascii="Times New Roman" w:cs="Times New Roman" w:eastAsia="Times New Roman" w:hAnsi="Times New Roman"/>
          <w:b/>
          <w:bCs/>
        </w:rPr>
        <w:t xml:space="preserve">«Asociación Mutual Asís c/ Cubilla, María Ester»</w:t>
      </w:r>
      <w:r>
        <w:rPr>
          <w:rFonts w:ascii="Times New Roman" w:cs="Times New Roman" w:eastAsia="Times New Roman" w:hAnsi="Times New Roman"/>
        </w:rPr>
        <w:t xml:space="preserve"> (C. 121.684, 14/08/2019), fijó doctrina legal en el sentido de que el pagaré de consumo puede integrarse con la documentación causal sólo si el conjunto satisface el artículo 36 LDC, y confirmó expresamente que los intereses son revisables por abuso o desproporción conforme al artículo 771 CCyC, sin que la abstracción del pagaré ni el carril ejecutivo clausuren el control consumeril. En materia de créditos ajustables, la Cám. II Civ. y Com. de La Plata, Sala I, en </w:t>
      </w:r>
      <w:r>
        <w:rPr>
          <w:rFonts w:ascii="Times New Roman" w:cs="Times New Roman" w:eastAsia="Times New Roman" w:hAnsi="Times New Roman"/>
          <w:b/>
          <w:bCs/>
        </w:rPr>
        <w:t xml:space="preserve">«Banco de la Provincia de Buenos Aires c/ Mugnolo»</w:t>
      </w:r>
      <w:r>
        <w:rPr>
          <w:rFonts w:ascii="Times New Roman" w:cs="Times New Roman" w:eastAsia="Times New Roman" w:hAnsi="Times New Roman"/>
        </w:rPr>
        <w:t xml:space="preserve"> (06/03/2025), distinguió el capital actualizado por CER de la deuda nominal y morigeró la tasa pura de un crédito UVA, mostrando que la moneda y el mecanismo de ajuste son indispensables para el test del artículo 771.</w:t>
      </w:r>
    </w:p>
    <w:p>
      <w:pPr>
        <w:pStyle w:val="Heading2"/>
        <w:keepNext/>
        <w:spacing w:after="120" w:before="240" w:line="360"/>
      </w:pPr>
      <w:r>
        <w:rPr>
          <w:rFonts w:ascii="Times New Roman" w:cs="Times New Roman" w:eastAsia="Times New Roman" w:hAnsi="Times New Roman"/>
          <w:b/>
          <w:bCs/>
          <w:sz w:val="24"/>
          <w:szCs w:val="24"/>
        </w:rPr>
        <w:t xml:space="preserve">VII.5. Capitalización y mora (art. 770 CCyC)</w:t>
      </w:r>
    </w:p>
    <w:p>
      <w:pPr>
        <w:spacing w:after="160" w:line="360"/>
        <w:jc w:val="both"/>
      </w:pPr>
      <w:r>
        <w:rPr>
          <w:rFonts w:ascii="Times New Roman" w:cs="Times New Roman" w:eastAsia="Times New Roman" w:hAnsi="Times New Roman"/>
        </w:rPr>
        <w:t xml:space="preserve">El artículo 770 CCyC limita el anatocismo y exige examinar por separado los intereses compensatorios, moratorios y punitorios, los cargos por gestión y la capitalización. La pericia deberá reconstruir la trayectoria completa de la deuda y detectar si cargos denominados de otro modo cumplen económicamente la función de interés.</w:t>
      </w:r>
    </w:p>
    <w:p>
      <w:pPr>
        <w:pStyle w:val="Heading2"/>
        <w:keepNext/>
        <w:spacing w:after="120" w:before="240" w:line="360"/>
      </w:pPr>
      <w:r>
        <w:rPr>
          <w:rFonts w:ascii="Times New Roman" w:cs="Times New Roman" w:eastAsia="Times New Roman" w:hAnsi="Times New Roman"/>
          <w:b/>
          <w:bCs/>
          <w:sz w:val="24"/>
          <w:szCs w:val="24"/>
        </w:rPr>
        <w:t xml:space="preserve">VII.6. Trato digno y cobranza (art. 8 bis LDC)</w:t>
      </w:r>
    </w:p>
    <w:p>
      <w:pPr>
        <w:spacing w:after="160" w:line="360"/>
        <w:jc w:val="both"/>
      </w:pPr>
      <w:r>
        <w:rPr>
          <w:rFonts w:ascii="Times New Roman" w:cs="Times New Roman" w:eastAsia="Times New Roman" w:hAnsi="Times New Roman"/>
        </w:rPr>
        <w:t xml:space="preserve">El artículo 8 bis LDC exige trato digno y prohíbe que las cobranzas extrajudiciales adopten apariencia de reclamo judicial; el artículo 35 prohíbe las propuestas no solicitadas que generen cargos automáticos. Estas normas se invocan sólo respecto de los hechos que muestren intimidación, falsa judicialización o ausencia de consentimiento; no convierten en ilícito un débito correctamente autorizado.</w:t>
      </w:r>
    </w:p>
    <w:p>
      <w:pPr>
        <w:pStyle w:val="Heading2"/>
        <w:keepNext/>
        <w:spacing w:after="120" w:before="240" w:line="360"/>
      </w:pPr>
      <w:r>
        <w:rPr>
          <w:rFonts w:ascii="Times New Roman" w:cs="Times New Roman" w:eastAsia="Times New Roman" w:hAnsi="Times New Roman"/>
          <w:b/>
          <w:bCs/>
          <w:sz w:val="24"/>
          <w:szCs w:val="24"/>
        </w:rPr>
        <w:t xml:space="preserve">VII.7. Deber de colaboración probatoria del proveedor (art. 53 LDC)</w:t>
      </w:r>
    </w:p>
    <w:p>
      <w:pPr>
        <w:spacing w:after="160" w:line="360"/>
        <w:jc w:val="both"/>
      </w:pPr>
      <w:r>
        <w:rPr>
          <w:rFonts w:ascii="Times New Roman" w:cs="Times New Roman" w:eastAsia="Times New Roman" w:hAnsi="Times New Roman"/>
        </w:rPr>
        <w:t xml:space="preserve">El artículo 53, párrafo tercero, LDC impone al proveedor aportar al proceso todos los elementos de prueba que obren en su poder y colaborar con el esclarecimiento, en función de su mejor posición profesional y técnica. La Cámara Nacional de Apelaciones en lo Comercial, Sala B, en </w:t>
      </w:r>
      <w:r>
        <w:rPr>
          <w:rFonts w:ascii="Times New Roman" w:cs="Times New Roman" w:eastAsia="Times New Roman" w:hAnsi="Times New Roman"/>
          <w:b/>
          <w:bCs/>
        </w:rPr>
        <w:t xml:space="preserve">«Custo, Leandro c/ Banco Santander Río S.A.»</w:t>
      </w:r>
      <w:r>
        <w:rPr>
          <w:rFonts w:ascii="Times New Roman" w:cs="Times New Roman" w:eastAsia="Times New Roman" w:hAnsi="Times New Roman"/>
        </w:rPr>
        <w:t xml:space="preserve"> (03/09/2025), ponderó contra la entidad la falta de acompañamiento del legajo del cliente y la negligencia en producir la pericia contable, destacando que el banco no podía limitarse a una negativa genérica. Aunque el caso versó sobre una cuenta corriente, la regla es directamente aplicable al pedido de exhibición de documentos y datos internos que sólo controla la entidad.</w:t>
      </w:r>
    </w:p>
    <w:p>
      <w:pPr>
        <w:pStyle w:val="Heading2"/>
        <w:keepNext/>
        <w:spacing w:after="120" w:before="240" w:line="360"/>
      </w:pPr>
      <w:r>
        <w:rPr>
          <w:rFonts w:ascii="Times New Roman" w:cs="Times New Roman" w:eastAsia="Times New Roman" w:hAnsi="Times New Roman"/>
          <w:b/>
          <w:bCs/>
          <w:sz w:val="24"/>
          <w:szCs w:val="24"/>
        </w:rPr>
        <w:t xml:space="preserve">VII.8. Reparación colectiva (art. 54 LDC)</w:t>
      </w:r>
    </w:p>
    <w:p>
      <w:pPr>
        <w:spacing w:after="160" w:line="360"/>
        <w:jc w:val="both"/>
      </w:pPr>
      <w:r>
        <w:rPr>
          <w:rFonts w:ascii="Times New Roman" w:cs="Times New Roman" w:eastAsia="Times New Roman" w:hAnsi="Times New Roman"/>
        </w:rPr>
        <w:t xml:space="preserve">El artículo 54 LDC habilita a la sentencia a establecer pautas para la reparación económica y ordena que las sumas se restituyan, en principio, por los mismos medios en que fueron percibidas. Este mecanismo se articula con el punto 2.3.5 del texto ordenado BCRA sobre protección de usuarios: los cobros indebidos se reintegran con gastos e interés compensatorio equivalente a 1,5 veces la tasa promedio de depósitos a plazo fijo de 30 a 59 días, y, detectado el evento, la entidad debe verificar y reintegrar a otros usuarios en igual situación —regla expresamente aplicable a acuerdos colectivos homologados y sentencias, salvo incompatibilidad con lo ordenado judicialmente—.</w:t>
      </w:r>
    </w:p>
    <w:p>
      <w:pPr>
        <w:pStyle w:val="Heading2"/>
        <w:keepNext/>
        <w:spacing w:after="120" w:before="240" w:line="360"/>
      </w:pPr>
      <w:r>
        <w:rPr>
          <w:rFonts w:ascii="Times New Roman" w:cs="Times New Roman" w:eastAsia="Times New Roman" w:hAnsi="Times New Roman"/>
          <w:b/>
          <w:bCs/>
          <w:sz w:val="24"/>
          <w:szCs w:val="24"/>
        </w:rPr>
        <w:t xml:space="preserve">VII.9. Usura penal: hipótesis condicionada y subsidiaria (art. 175 bis CP)</w:t>
      </w:r>
    </w:p>
    <w:p>
      <w:pPr>
        <w:spacing w:after="160" w:line="360"/>
        <w:jc w:val="both"/>
      </w:pPr>
      <w:r>
        <w:rPr>
          <w:rFonts w:ascii="Times New Roman" w:cs="Times New Roman" w:eastAsia="Times New Roman" w:hAnsi="Times New Roman"/>
        </w:rPr>
        <w:t xml:space="preserve">El artículo 175 bis del Código Penal exige más que una tasa alta: requiere el aprovechamiento de la necesidad, ligereza o inexperiencia de la víctima, intereses o ventajas evidentemente desproporcionados —o garantías extorsivas— y el elemento subjetivo correspondiente. Por ello </w:t>
      </w:r>
      <w:r>
        <w:rPr>
          <w:rFonts w:ascii="Times New Roman" w:cs="Times New Roman" w:eastAsia="Times New Roman" w:hAnsi="Times New Roman"/>
          <w:b/>
          <w:bCs/>
        </w:rPr>
        <w:t xml:space="preserve">no</w:t>
      </w:r>
      <w:r>
        <w:rPr>
          <w:rFonts w:ascii="Times New Roman" w:cs="Times New Roman" w:eastAsia="Times New Roman" w:hAnsi="Times New Roman"/>
        </w:rPr>
        <w:t xml:space="preserve"> se afirma que «CFT mayor que inflación» equivalga a usura penal; sólo ante evidencia concreta se solicitará la remisión al Ministerio Público Fiscal, y la nulidad, reducción y restitución consumeriles pueden prosperar aunque no se configure delito.</w:t>
      </w:r>
    </w:p>
    <w:p>
      <w:pPr>
        <w:pStyle w:val="Heading2"/>
        <w:keepNext/>
        <w:spacing w:after="120" w:before="240" w:line="360"/>
      </w:pPr>
      <w:r>
        <w:rPr>
          <w:rFonts w:ascii="Times New Roman" w:cs="Times New Roman" w:eastAsia="Times New Roman" w:hAnsi="Times New Roman"/>
          <w:b/>
          <w:bCs/>
          <w:sz w:val="24"/>
          <w:szCs w:val="24"/>
        </w:rPr>
        <w:t xml:space="preserve">VII.10. Prescripción y derecho intertemporal</w:t>
      </w:r>
    </w:p>
    <w:p>
      <w:pPr>
        <w:spacing w:after="160" w:line="360"/>
        <w:jc w:val="both"/>
      </w:pPr>
      <w:r>
        <w:rPr>
          <w:rFonts w:ascii="Times New Roman" w:cs="Times New Roman" w:eastAsia="Times New Roman" w:hAnsi="Times New Roman"/>
        </w:rPr>
        <w:t xml:space="preserve">No corresponde afirmar un plazo único para toda la acción. El artículo 50 LDC, tras la vigencia del CCyC, regula la prescripción de las </w:t>
      </w:r>
      <w:r>
        <w:rPr>
          <w:rFonts w:ascii="Times New Roman" w:cs="Times New Roman" w:eastAsia="Times New Roman" w:hAnsi="Times New Roman"/>
          <w:b/>
          <w:bCs/>
        </w:rPr>
        <w:t xml:space="preserve">sanciones</w:t>
      </w:r>
      <w:r>
        <w:rPr>
          <w:rFonts w:ascii="Times New Roman" w:cs="Times New Roman" w:eastAsia="Times New Roman" w:hAnsi="Times New Roman"/>
        </w:rPr>
        <w:t xml:space="preserve"> de la ley, no un plazo general para todas las acciones civiles de consumo. Deben distinguirse: (i) nulidad/ineficacia de cláusulas y revisión del contrato; (ii) restitución o repetición de cobros con causa contractual; (iii) reducción e imputación del exceso de intereses (art. 771); (iv) indemnización de daños; y (v) multa civil y sanciones. Como hipótesis de trabajo sujeta a la causa y a la jurisdicción, el artículo 2560 CCyC prevé el plazo genérico de cinco años cuando no exista otro (con la reforma de la Ley 27.799, vigente desde el 02/01/2026, que admite un plazo local diferente), el 2561 fija tres años para la indemnización de daños y el 2562 dos años para supuestos específicos. El cómputo (art. 2554) parte de la exigibilidad, pero las cuotas son prestaciones sucesivas y deben ponderarse fecha de conocimiento, efectos continuados, exigibilidad de cada cobro y actos interruptivos o suspensivos. La estrategia es conservadora: formar cohortes temporales alternativas, demandar primero los períodos indiscutiblemente vivos y plantear separadamente restitución, daños y tutela preventiva. La conservación decenal del RCCR es una </w:t>
      </w:r>
      <w:r>
        <w:rPr>
          <w:rFonts w:ascii="Times New Roman" w:cs="Times New Roman" w:eastAsia="Times New Roman" w:hAnsi="Times New Roman"/>
          <w:b/>
          <w:bCs/>
        </w:rPr>
        <w:t xml:space="preserve">regla de prueba, no un plazo de prescripción</w:t>
      </w:r>
      <w:r>
        <w:rPr>
          <w:rFonts w:ascii="Times New Roman" w:cs="Times New Roman" w:eastAsia="Times New Roman" w:hAnsi="Times New Roman"/>
        </w:rPr>
        <w:t xml:space="preserve">.</w:t>
      </w:r>
    </w:p>
    <w:p>
      <w:pPr>
        <w:spacing w:after="160" w:line="360"/>
        <w:jc w:val="both"/>
      </w:pPr>
      <w:r>
        <w:rPr>
          <w:rFonts w:ascii="Times New Roman" w:cs="Times New Roman" w:eastAsia="Times New Roman" w:hAnsi="Times New Roman"/>
        </w:rPr>
        <w:t xml:space="preserve">Las Comunicaciones BCRA «A» 7744 (2023), «A» 8203 (2025) y «A» 8433 (2026) rigen según la fecha del contrato, la modificación, el cargo, el débito o la información suministrada; una versión posterior sólo se aplicará a hechos anteriores cuando reproduzca un deber ya vigente por otra fuente, y nunca como fundamento retroactivo automático.</w:t>
      </w:r>
    </w:p>
    <w:p>
      <w:pPr>
        <w:pStyle w:val="Heading1"/>
        <w:keepNext/>
        <w:spacing w:after="160" w:before="320" w:line="360"/>
      </w:pPr>
      <w:r>
        <w:rPr>
          <w:rFonts w:ascii="Times New Roman" w:cs="Times New Roman" w:eastAsia="Times New Roman" w:hAnsi="Times New Roman"/>
          <w:b/>
          <w:bCs/>
          <w:sz w:val="26"/>
          <w:szCs w:val="26"/>
        </w:rPr>
        <w:t xml:space="preserve">VIII. PRUEBA</w:t>
      </w:r>
    </w:p>
    <w:p>
      <w:pPr>
        <w:spacing w:after="160" w:line="360"/>
        <w:jc w:val="both"/>
      </w:pPr>
      <w:r>
        <w:rPr>
          <w:rFonts w:ascii="Times New Roman" w:cs="Times New Roman" w:eastAsia="Times New Roman" w:hAnsi="Times New Roman"/>
        </w:rPr>
        <w:t xml:space="preserve">Ofrecemos la siguiente prueba, sin perjuicio de la que surja durante el proceso y de las diligencias preliminares que se solicitan:</w:t>
      </w:r>
    </w:p>
    <w:p>
      <w:pPr>
        <w:pStyle w:val="Heading2"/>
        <w:keepNext/>
        <w:spacing w:after="120" w:before="240" w:line="360"/>
      </w:pPr>
      <w:r>
        <w:rPr>
          <w:rFonts w:ascii="Times New Roman" w:cs="Times New Roman" w:eastAsia="Times New Roman" w:hAnsi="Times New Roman"/>
          <w:b/>
          <w:bCs/>
          <w:sz w:val="24"/>
          <w:szCs w:val="24"/>
        </w:rPr>
        <w:t xml:space="preserve">VIII.1. Documental pública acompañada</w:t>
      </w:r>
    </w:p>
    <w:p>
      <w:pPr>
        <w:spacing w:after="160" w:line="360"/>
        <w:jc w:val="both"/>
      </w:pPr>
      <w:r>
        <w:rPr>
          <w:rFonts w:ascii="Times New Roman" w:cs="Times New Roman" w:eastAsia="Times New Roman" w:hAnsi="Times New Roman"/>
        </w:rPr>
        <w:t xml:space="preserve">Se acompañan, con su huella SHA-256 de integridad (ver inventario del Manuscrito V0.7, Cap. 15), entre otros: series oficiales BCRA de tasas de préstamos personales (E-1); serie INDEC del IPC nacional (E-2); Informes de Inclusión Financiera 2023–2025 (E-3 y ss.); Informes sobre Bancos de diciembre de 2025 y mayo de 2026; archivos abiertos de balances, resultados y balance detallado por entidad para siete cortes 2023–2026 (B-1, B-4 a B-9); panel contable longitudinal y su conciliación (B-10 a B-13); bases CENDEU (IIF-1 a IIF-7), separadas antes y después del cambio de umbral de julio de 2024; textos ordenados BCRA de Protección de Usuarios (N-1) y de Tasas de Interés (N-2); Comunicaciones «A» 7744, «A» 8203, «A» 8433 y «A» 5402 (N-3 a N-5 y N-8); Informes PUSF 2023, 2024 y 2025 (R-1, R-2, N-6, N-7); las dos copias del Régimen de Transparencia y su diccionario (T-1 a T-4); y el legajo del caso Masventas (MV-1 a MV-5). Se aclara que la huella digital prueba la </w:t>
      </w:r>
      <w:r>
        <w:rPr>
          <w:rFonts w:ascii="Times New Roman" w:cs="Times New Roman" w:eastAsia="Times New Roman" w:hAnsi="Times New Roman"/>
          <w:b/>
          <w:bCs/>
        </w:rPr>
        <w:t xml:space="preserve">integridad</w:t>
      </w:r>
      <w:r>
        <w:rPr>
          <w:rFonts w:ascii="Times New Roman" w:cs="Times New Roman" w:eastAsia="Times New Roman" w:hAnsi="Times New Roman"/>
        </w:rPr>
        <w:t xml:space="preserve"> de la copia, no su autenticidad, autoría ni veracidad, que se acreditarán por fuente oficial, oficio o reconocimiento.</w:t>
      </w:r>
    </w:p>
    <w:p>
      <w:pPr>
        <w:pStyle w:val="Heading2"/>
        <w:keepNext/>
        <w:spacing w:after="120" w:before="240" w:line="360"/>
      </w:pPr>
      <w:r>
        <w:rPr>
          <w:rFonts w:ascii="Times New Roman" w:cs="Times New Roman" w:eastAsia="Times New Roman" w:hAnsi="Times New Roman"/>
          <w:b/>
          <w:bCs/>
          <w:sz w:val="24"/>
          <w:szCs w:val="24"/>
        </w:rPr>
        <w:t xml:space="preserve">VIII.2. Documental en poder de la/s demandada/s (art. 53 LDC; exhibición)</w:t>
      </w:r>
    </w:p>
    <w:p>
      <w:pPr>
        <w:spacing w:after="160" w:line="360"/>
        <w:jc w:val="both"/>
      </w:pPr>
      <w:r>
        <w:rPr>
          <w:rFonts w:ascii="Times New Roman" w:cs="Times New Roman" w:eastAsia="Times New Roman" w:hAnsi="Times New Roman"/>
        </w:rPr>
        <w:t xml:space="preserve">Se solicita ordenar a la/s demandada/s la exhibición, por producto, versión y período, desde el 1 de enero de 2023, de: contratos tipo y sus versiones históricas con fechas de entrada y salida; anexos, tablas de amortización, pantallas y flujos digitales de alta; registros de consentimiento y constancias de entrega; estados de cuenta, diccionario de cargos y reglas de imputación; matrices y actas de comité de precios; </w:t>
      </w:r>
      <w:r>
        <w:rPr>
          <w:rFonts w:ascii="Times New Roman" w:cs="Times New Roman" w:eastAsia="Times New Roman" w:hAnsi="Times New Roman"/>
          <w:b/>
          <w:bCs/>
        </w:rPr>
        <w:t xml:space="preserve">RCCR, RRI y RDJA</w:t>
      </w:r>
      <w:r>
        <w:rPr>
          <w:rFonts w:ascii="Times New Roman" w:cs="Times New Roman" w:eastAsia="Times New Roman" w:hAnsi="Times New Roman"/>
        </w:rPr>
        <w:t xml:space="preserve"> con motivo, producto, sucursal, estado y respuesta; reportes trimestrales del responsable de atención y del Comité/Directivo de Protección y actas de Directorio; informes de auditoría interna y externa y planes correctivos; análisis de causas generadoras de eventos con posible afectación colectiva; y verificaciones y reintegros a otros usuarios en igual situación. La orden debe abarcar todas las versiones históricas; puede comenzar seudonimizada, bajo reserva y con acceso pericial, con diccionario de datos, historial de cambios y totales de control. La confidencialidad comercial no justifica ocultar la existencia del patrón ni los agregados necesarios para definir la clase.</w:t>
      </w:r>
    </w:p>
    <w:p>
      <w:pPr>
        <w:pStyle w:val="Heading2"/>
        <w:keepNext/>
        <w:spacing w:after="120" w:before="240" w:line="360"/>
      </w:pPr>
      <w:r>
        <w:rPr>
          <w:rFonts w:ascii="Times New Roman" w:cs="Times New Roman" w:eastAsia="Times New Roman" w:hAnsi="Times New Roman"/>
          <w:b/>
          <w:bCs/>
          <w:sz w:val="24"/>
          <w:szCs w:val="24"/>
        </w:rPr>
        <w:t xml:space="preserve">VIII.3. Pericia económica, financiera y actuarial</w:t>
      </w:r>
    </w:p>
    <w:p>
      <w:pPr>
        <w:spacing w:after="160" w:line="360"/>
        <w:jc w:val="both"/>
      </w:pPr>
      <w:r>
        <w:rPr>
          <w:rFonts w:ascii="Times New Roman" w:cs="Times New Roman" w:eastAsia="Times New Roman" w:hAnsi="Times New Roman"/>
        </w:rPr>
        <w:t xml:space="preserve">Puntos de pericia (síntesis; el detalle sigue el protocolo del Anexo M-1): (1) identificar el desembolso neto recibido y la fecha de cada flujo; (2) reconstruir todos los pagos exigidos (intereses, impuestos, seguros, comisiones, retenciones y cargos); (3) calcular la tasa interna mensual del flujo y convertirla a CFTEA, informando supuestos, redondeos y tratamiento de fechas; (4) comprobar la consistencia entre publicidad, resumen, contrato, tabla de amortización, débito y registración contable; (5) deflactar desembolso y pagos por IPC según fecha, sin confundir tasa real con suma real pagada; (6) calcular el esfuerzo de cuota sobre ingreso disponible, con distribución por cohortes y no sólo promedio; (7) formar grupos comparables por fecha, monto, plazo, riesgo, garantía, canal, moneda y vinculación salarial; (8) establecer mediana, promedio ponderado, percentiles y dispersión del CFT contratado por grupo; (9) medir la brecha relativa, su persistencia y su sensibilidad a comparadores alternativos; (10) evaluar la justificación de riesgo y costos del banco, controlando el doble cómputo entre mora, previsiones y capital; (11) explicar qué resultados </w:t>
      </w:r>
      <w:r>
        <w:rPr>
          <w:rFonts w:ascii="Times New Roman" w:cs="Times New Roman" w:eastAsia="Times New Roman" w:hAnsi="Times New Roman"/>
          <w:b/>
          <w:bCs/>
        </w:rPr>
        <w:t xml:space="preserve">refutarían</w:t>
      </w:r>
      <w:r>
        <w:rPr>
          <w:rFonts w:ascii="Times New Roman" w:cs="Times New Roman" w:eastAsia="Times New Roman" w:hAnsi="Times New Roman"/>
        </w:rPr>
        <w:t xml:space="preserve"> la hipótesis de desproporción; (12) reconstruir la cuenta contrafactual bajo cada tasa que indique el tribunal, imputando primero el exceso al capital; (13) liquidar por persona la restitución posterior a la extinción del capital; y (14) conciliar la suma individual con los totales de la cartera y los estados de la entidad.</w:t>
      </w:r>
    </w:p>
    <w:p>
      <w:pPr>
        <w:pStyle w:val="Heading2"/>
        <w:keepNext/>
        <w:spacing w:after="120" w:before="240" w:line="360"/>
      </w:pPr>
      <w:r>
        <w:rPr>
          <w:rFonts w:ascii="Times New Roman" w:cs="Times New Roman" w:eastAsia="Times New Roman" w:hAnsi="Times New Roman"/>
          <w:b/>
          <w:bCs/>
          <w:sz w:val="24"/>
          <w:szCs w:val="24"/>
        </w:rPr>
        <w:t xml:space="preserve">VIII.4. Pericia contable</w:t>
      </w:r>
    </w:p>
    <w:p>
      <w:pPr>
        <w:spacing w:after="160" w:line="360"/>
        <w:jc w:val="both"/>
      </w:pPr>
      <w:r>
        <w:rPr>
          <w:rFonts w:ascii="Times New Roman" w:cs="Times New Roman" w:eastAsia="Times New Roman" w:hAnsi="Times New Roman"/>
        </w:rPr>
        <w:t xml:space="preserve">(1) Conciliar los cobros de la clase con libros y reportes regulatorios; (2) separar ingreso financiero, cargos, seguros, punitorios y recuperos; (3) verificar fondeo, previsiones, castigos, impuestos y gastos; (4) calcular el resultado neto atribuible por producto y cohorte; (5) identificar cambios de metodología o precio y su aprobación interna; y (6) cuantificar el beneficio obtenido con los cargos declarados indebidos. Se utilizarán como punto de partida las cuentas públicas 511107/515107 de intereses por préstamos personales, sin presentarlas como utilidad neta.</w:t>
      </w:r>
    </w:p>
    <w:p>
      <w:pPr>
        <w:pStyle w:val="Heading2"/>
        <w:keepNext/>
        <w:spacing w:after="120" w:before="240" w:line="360"/>
      </w:pPr>
      <w:r>
        <w:rPr>
          <w:rFonts w:ascii="Times New Roman" w:cs="Times New Roman" w:eastAsia="Times New Roman" w:hAnsi="Times New Roman"/>
          <w:b/>
          <w:bCs/>
          <w:sz w:val="24"/>
          <w:szCs w:val="24"/>
        </w:rPr>
        <w:t xml:space="preserve">VIII.5. Informativa</w:t>
      </w:r>
    </w:p>
    <w:p>
      <w:pPr>
        <w:spacing w:after="160" w:line="360"/>
        <w:jc w:val="both"/>
      </w:pPr>
      <w:r>
        <w:rPr>
          <w:rFonts w:ascii="Times New Roman" w:cs="Times New Roman" w:eastAsia="Times New Roman" w:hAnsi="Times New Roman"/>
        </w:rPr>
        <w:t xml:space="preserve">Líbrese oficio al </w:t>
      </w:r>
      <w:r>
        <w:rPr>
          <w:rFonts w:ascii="Times New Roman" w:cs="Times New Roman" w:eastAsia="Times New Roman" w:hAnsi="Times New Roman"/>
          <w:b/>
          <w:bCs/>
        </w:rPr>
        <w:t xml:space="preserve">BCRA</w:t>
      </w:r>
      <w:r>
        <w:rPr>
          <w:rFonts w:ascii="Times New Roman" w:cs="Times New Roman" w:eastAsia="Times New Roman" w:hAnsi="Times New Roman"/>
        </w:rPr>
        <w:t xml:space="preserve"> para que informe, en el período y nivel de desagregación legalmente disponibles: tasas, CFT y cargos reportados por cada demandada; versiones de contratos e historial del Régimen de Transparencia desde el 01/01/2023; cantidad de deudores y saldos de la cartera; reclamos y actuaciones sobre las prácticas impugnadas; mora, previsiones y resultados por entidad; y normativa y criterios de supervisión aplicables. Se requerirá además, sin invadir innecesariamente el secreto individual: extracción autenticada de RCCR, RRI y RDJA disponibles para la supervisión; reportes trimestrales, auditorías y acciones correctivas; definición técnica del CFTEA reportado y validaciones aplicadas; fecha, contenido, rectificación y metadatos de cada declaración; y el universo de usuarios identificado por reclamos o fiscalización. Respecto de la Comunicación «A» 5402 (2013), deberá informar su vigencia, derogación o norma sucesora, la política de retención y si conserva, para 2023–2026, presentaciones por entidad y mes sobre préstamos </w:t>
      </w:r>
      <w:r>
        <w:rPr>
          <w:rFonts w:ascii="Times New Roman" w:cs="Times New Roman" w:eastAsia="Times New Roman" w:hAnsi="Times New Roman"/>
          <w:b/>
          <w:bCs/>
        </w:rPr>
        <w:t xml:space="preserve">efectivamente desembolsados</w:t>
      </w:r>
      <w:r>
        <w:rPr>
          <w:rFonts w:ascii="Times New Roman" w:cs="Times New Roman" w:eastAsia="Times New Roman" w:hAnsi="Times New Roman"/>
        </w:rPr>
        <w:t xml:space="preserve"> por tramo de CFT, monto, cantidad y TNA ponderada; si existen, remitirlas en formato tabular autenticado y desidentificado. En el caso </w:t>
      </w:r>
      <w:r>
        <w:rPr>
          <w:rFonts w:ascii="Times New Roman" w:cs="Times New Roman" w:eastAsia="Times New Roman" w:hAnsi="Times New Roman"/>
          <w:b/>
          <w:bCs/>
        </w:rPr>
        <w:t xml:space="preserve">Masventas</w:t>
      </w:r>
      <w:r>
        <w:rPr>
          <w:rFonts w:ascii="Times New Roman" w:cs="Times New Roman" w:eastAsia="Times New Roman" w:hAnsi="Times New Roman"/>
        </w:rPr>
        <w:t xml:space="preserve">, se requerirá la autenticación de las cuatro líneas VGA/AMPROMM con CFTEA 13.476,52%, su historia de cambios y toda comunicación de inconsistencia, contrastadas con el tarifario vigente desde el 05/08/2026.</w:t>
      </w:r>
    </w:p>
    <w:p>
      <w:pPr>
        <w:pStyle w:val="Heading2"/>
        <w:keepNext/>
        <w:spacing w:after="120" w:before="240" w:line="360"/>
      </w:pPr>
      <w:r>
        <w:rPr>
          <w:rFonts w:ascii="Times New Roman" w:cs="Times New Roman" w:eastAsia="Times New Roman" w:hAnsi="Times New Roman"/>
          <w:b/>
          <w:bCs/>
          <w:sz w:val="24"/>
          <w:szCs w:val="24"/>
        </w:rPr>
        <w:t xml:space="preserve">VIII.6. Testimonial</w:t>
      </w:r>
    </w:p>
    <w:p>
      <w:pPr>
        <w:spacing w:after="160" w:line="360"/>
        <w:jc w:val="both"/>
      </w:pPr>
      <w:r>
        <w:rPr>
          <w:rFonts w:ascii="Times New Roman" w:cs="Times New Roman" w:eastAsia="Times New Roman" w:hAnsi="Times New Roman"/>
        </w:rPr>
        <w:t xml:space="preserve">De los casos testigo de cada subclase, del responsable de atención al usuario de cada demandada y de quien corresponda según la prueba (a designar).</w:t>
      </w:r>
    </w:p>
    <w:p>
      <w:pPr>
        <w:pStyle w:val="Heading2"/>
        <w:keepNext/>
        <w:spacing w:after="120" w:before="240" w:line="360"/>
      </w:pPr>
      <w:r>
        <w:rPr>
          <w:rFonts w:ascii="Times New Roman" w:cs="Times New Roman" w:eastAsia="Times New Roman" w:hAnsi="Times New Roman"/>
          <w:b/>
          <w:bCs/>
          <w:sz w:val="24"/>
          <w:szCs w:val="24"/>
        </w:rPr>
        <w:t xml:space="preserve">VIII.7. Diligencias preliminares y vía administrativa</w:t>
      </w:r>
    </w:p>
    <w:p>
      <w:pPr>
        <w:spacing w:after="160" w:line="360"/>
        <w:jc w:val="both"/>
      </w:pPr>
      <w:r>
        <w:rPr>
          <w:rFonts w:ascii="Times New Roman" w:cs="Times New Roman" w:eastAsia="Times New Roman" w:hAnsi="Times New Roman"/>
        </w:rPr>
        <w:t xml:space="preserve">Sin perjuicio de esta demanda, cada reclamante testigo formulará un reclamo trazable ante la entidad y, en su caso, la segunda instancia ante el BCRA, para fijar conocimiento, activar los registros obligatorios y obtener un canal adicional de preservación, sin que ello desplace ni demore la acción judicial (la actuación ante el BCRA es sin perjuicio de las acciones judiciales).</w:t>
      </w:r>
    </w:p>
    <w:p>
      <w:pPr>
        <w:pStyle w:val="Heading1"/>
        <w:keepNext/>
        <w:spacing w:after="160" w:before="320" w:line="360"/>
      </w:pPr>
      <w:r>
        <w:rPr>
          <w:rFonts w:ascii="Times New Roman" w:cs="Times New Roman" w:eastAsia="Times New Roman" w:hAnsi="Times New Roman"/>
          <w:b/>
          <w:bCs/>
          <w:sz w:val="26"/>
          <w:szCs w:val="26"/>
        </w:rPr>
        <w:t xml:space="preserve">IX. MEDIDAS DE PRESERVACIÓN Y TUTELA CAUTELAR / PREVENTIVA</w:t>
      </w:r>
    </w:p>
    <w:p>
      <w:pPr>
        <w:spacing w:after="160" w:line="360"/>
        <w:jc w:val="both"/>
      </w:pPr>
      <w:r>
        <w:rPr>
          <w:rFonts w:ascii="Times New Roman" w:cs="Times New Roman" w:eastAsia="Times New Roman" w:hAnsi="Times New Roman"/>
        </w:rPr>
        <w:t xml:space="preserve">No se solicita una suspensión indiscriminada de todas las cuotas. Respecto de la clase </w:t>
      </w:r>
      <w:r>
        <w:rPr>
          <w:rFonts w:ascii="Times New Roman" w:cs="Times New Roman" w:eastAsia="Times New Roman" w:hAnsi="Times New Roman"/>
          <w:i/>
          <w:iCs/>
        </w:rPr>
        <w:t xml:space="preserve">prima facie</w:t>
      </w:r>
      <w:r>
        <w:rPr>
          <w:rFonts w:ascii="Times New Roman" w:cs="Times New Roman" w:eastAsia="Times New Roman" w:hAnsi="Times New Roman"/>
        </w:rPr>
        <w:t xml:space="preserve"> acreditada, y previa verificación de verosimilitud del derecho, peligro en la demora, proporcionalidad y contracautela conforme a la jurisdicción, solicitamos:</w:t>
      </w:r>
    </w:p>
    <w:p>
      <w:pPr>
        <w:spacing w:after="140" w:line="360"/>
        <w:ind w:left="720" w:hanging="360"/>
        <w:jc w:val="both"/>
      </w:pPr>
      <w:r>
        <w:rPr>
          <w:rFonts w:ascii="Times New Roman" w:cs="Times New Roman" w:eastAsia="Times New Roman" w:hAnsi="Times New Roman"/>
        </w:rPr>
        <w:t xml:space="preserve">1. </w:t>
      </w:r>
      <w:r>
        <w:rPr>
          <w:rFonts w:ascii="Times New Roman" w:cs="Times New Roman" w:eastAsia="Times New Roman" w:hAnsi="Times New Roman"/>
          <w:b/>
          <w:bCs/>
        </w:rPr>
        <w:t xml:space="preserve">Preservación de evidencia:</w:t>
      </w:r>
      <w:r>
        <w:rPr>
          <w:rFonts w:ascii="Times New Roman" w:cs="Times New Roman" w:eastAsia="Times New Roman" w:hAnsi="Times New Roman"/>
        </w:rPr>
        <w:t xml:space="preserve"> ordenar a la/s demandada/s conservar bases, logs, contratos versionados, comunicaciones, grabaciones, modelos de precios, registros contables, RCCR, RRI, RDJA, reportes directivos y auditorías desde el 01/01/2023, incluyendo respaldos y versiones retiradas, impidiendo su borrado, reclasificación o rotación ordinaria sin paralizar la operatoria lícita, mediante copia forense o exportación inalterable con hash, fecha, responsable y conciliación de totales;</w:t>
      </w:r>
    </w:p>
    <w:p>
      <w:pPr>
        <w:spacing w:after="140" w:line="360"/>
        <w:ind w:left="720" w:hanging="360"/>
        <w:jc w:val="both"/>
      </w:pPr>
      <w:r>
        <w:rPr>
          <w:rFonts w:ascii="Times New Roman" w:cs="Times New Roman" w:eastAsia="Times New Roman" w:hAnsi="Times New Roman"/>
        </w:rPr>
        <w:t xml:space="preserve">2. prohibición de cobrar cargos específicamente no previstos o no prestados;</w:t>
      </w:r>
    </w:p>
    <w:p>
      <w:pPr>
        <w:spacing w:after="140" w:line="360"/>
        <w:ind w:left="720" w:hanging="360"/>
        <w:jc w:val="both"/>
      </w:pPr>
      <w:r>
        <w:rPr>
          <w:rFonts w:ascii="Times New Roman" w:cs="Times New Roman" w:eastAsia="Times New Roman" w:hAnsi="Times New Roman"/>
        </w:rPr>
        <w:t xml:space="preserve">3. prohibición de capitalizar o aplicar punitorios sobre la porción judicialmente controvertida;</w:t>
      </w:r>
    </w:p>
    <w:p>
      <w:pPr>
        <w:spacing w:after="140" w:line="360"/>
        <w:ind w:left="720" w:hanging="360"/>
        <w:jc w:val="both"/>
      </w:pPr>
      <w:r>
        <w:rPr>
          <w:rFonts w:ascii="Times New Roman" w:cs="Times New Roman" w:eastAsia="Times New Roman" w:hAnsi="Times New Roman"/>
        </w:rPr>
        <w:t xml:space="preserve">4. abstención de informar como mora la porción disputada cuando el consumidor pague el capital y el importe no controvertido según el mecanismo judicial;</w:t>
      </w:r>
    </w:p>
    <w:p>
      <w:pPr>
        <w:spacing w:after="140" w:line="360"/>
        <w:ind w:left="720" w:hanging="360"/>
        <w:jc w:val="both"/>
      </w:pPr>
      <w:r>
        <w:rPr>
          <w:rFonts w:ascii="Times New Roman" w:cs="Times New Roman" w:eastAsia="Times New Roman" w:hAnsi="Times New Roman"/>
        </w:rPr>
        <w:t xml:space="preserve">5. habilitación inmediata de la revocación de débitos, con constancia trazable; y</w:t>
      </w:r>
    </w:p>
    <w:p>
      <w:pPr>
        <w:spacing w:after="140" w:line="360"/>
        <w:ind w:left="720" w:hanging="360"/>
        <w:jc w:val="both"/>
      </w:pPr>
      <w:r>
        <w:rPr>
          <w:rFonts w:ascii="Times New Roman" w:cs="Times New Roman" w:eastAsia="Times New Roman" w:hAnsi="Times New Roman"/>
        </w:rPr>
        <w:t xml:space="preserve">6. información clara en los estados de cuenta sobre capital, interés, cargos, CFT y saldo.</w:t>
      </w:r>
    </w:p>
    <w:p>
      <w:pPr>
        <w:pStyle w:val="Heading1"/>
        <w:keepNext/>
        <w:spacing w:after="160" w:before="320" w:line="360"/>
      </w:pPr>
      <w:r>
        <w:rPr>
          <w:rFonts w:ascii="Times New Roman" w:cs="Times New Roman" w:eastAsia="Times New Roman" w:hAnsi="Times New Roman"/>
          <w:b/>
          <w:bCs/>
          <w:sz w:val="26"/>
          <w:szCs w:val="26"/>
        </w:rPr>
        <w:t xml:space="preserve">X. INTERVENCIÓN DEL MINISTERIO PÚBLICO</w:t>
      </w:r>
    </w:p>
    <w:p>
      <w:pPr>
        <w:spacing w:after="160" w:line="360"/>
        <w:jc w:val="both"/>
      </w:pPr>
      <w:r>
        <w:rPr>
          <w:rFonts w:ascii="Times New Roman" w:cs="Times New Roman" w:eastAsia="Times New Roman" w:hAnsi="Times New Roman"/>
        </w:rPr>
        <w:t xml:space="preserve">Solicitamos se dé intervención al </w:t>
      </w:r>
      <w:r>
        <w:rPr>
          <w:rFonts w:ascii="Times New Roman" w:cs="Times New Roman" w:eastAsia="Times New Roman" w:hAnsi="Times New Roman"/>
          <w:b/>
          <w:bCs/>
        </w:rPr>
        <w:t xml:space="preserve">Ministerio Público Fiscal</w:t>
      </w:r>
      <w:r>
        <w:rPr>
          <w:rFonts w:ascii="Times New Roman" w:cs="Times New Roman" w:eastAsia="Times New Roman" w:hAnsi="Times New Roman"/>
        </w:rPr>
        <w:t xml:space="preserve"> en los términos del artículo 52, párrafo tercero, de la LDC, en su carácter de fiscal de la ley, y —de corresponder— al Ministerio Público de la Defensa y a las autoridades de aplicación.</w:t>
      </w:r>
    </w:p>
    <w:p>
      <w:pPr>
        <w:pStyle w:val="Heading1"/>
        <w:keepNext/>
        <w:spacing w:after="160" w:before="320" w:line="360"/>
      </w:pPr>
      <w:r>
        <w:rPr>
          <w:rFonts w:ascii="Times New Roman" w:cs="Times New Roman" w:eastAsia="Times New Roman" w:hAnsi="Times New Roman"/>
          <w:b/>
          <w:bCs/>
          <w:sz w:val="26"/>
          <w:szCs w:val="26"/>
        </w:rPr>
        <w:t xml:space="preserve">XI. RESERVA DEL CASO FEDERAL</w:t>
      </w:r>
    </w:p>
    <w:p>
      <w:pPr>
        <w:spacing w:after="160" w:line="360"/>
        <w:jc w:val="both"/>
      </w:pPr>
      <w:r>
        <w:rPr>
          <w:rFonts w:ascii="Times New Roman" w:cs="Times New Roman" w:eastAsia="Times New Roman" w:hAnsi="Times New Roman"/>
        </w:rPr>
        <w:t xml:space="preserve">Para el supuesto de que no se hiciera lugar a la pretensión, formulamos expresa reserva del caso federal (art. 14, Ley 48), por encontrarse en juego la interpretación y aplicación directa de los artículos 18, 42 y 43 de la Constitución Nacional y la doctrina de la Corte Suprema en materia de tutela colectiva de derechos individuales homogéneos.</w:t>
      </w:r>
    </w:p>
    <w:p>
      <w:pPr>
        <w:pStyle w:val="Heading1"/>
        <w:keepNext/>
        <w:spacing w:after="160" w:before="320" w:line="360"/>
      </w:pPr>
      <w:r>
        <w:rPr>
          <w:rFonts w:ascii="Times New Roman" w:cs="Times New Roman" w:eastAsia="Times New Roman" w:hAnsi="Times New Roman"/>
          <w:b/>
          <w:bCs/>
          <w:sz w:val="26"/>
          <w:szCs w:val="26"/>
        </w:rPr>
        <w:t xml:space="preserve">XII. AUTORIZACIONES Y RESERVAS</w:t>
      </w:r>
    </w:p>
    <w:p>
      <w:pPr>
        <w:spacing w:after="160" w:line="360"/>
        <w:jc w:val="both"/>
      </w:pPr>
      <w:r>
        <w:rPr>
          <w:rFonts w:ascii="Times New Roman" w:cs="Times New Roman" w:eastAsia="Times New Roman" w:hAnsi="Times New Roman"/>
        </w:rPr>
        <w:t xml:space="preserve">Autorizamos a </w:t>
      </w:r>
      <w:r>
        <w:rPr>
          <w:rFonts w:ascii="Times New Roman" w:cs="Times New Roman" w:eastAsia="Times New Roman" w:hAnsi="Times New Roman"/>
          <w:b/>
          <w:bCs/>
        </w:rPr>
        <w:t xml:space="preserve">[●]</w:t>
      </w:r>
      <w:r>
        <w:rPr>
          <w:rFonts w:ascii="Times New Roman" w:cs="Times New Roman" w:eastAsia="Times New Roman" w:hAnsi="Times New Roman"/>
        </w:rPr>
        <w:t xml:space="preserve"> a compulsar el expediente, retirar copias y oficios, y realizar los actos procesales que correspondan. Manifestamos que </w:t>
      </w:r>
      <w:r>
        <w:rPr>
          <w:rFonts w:ascii="Times New Roman" w:cs="Times New Roman" w:eastAsia="Times New Roman" w:hAnsi="Times New Roman"/>
          <w:b/>
          <w:bCs/>
        </w:rPr>
        <w:t xml:space="preserve">[ASOCIACIÓN / LEGITIMADO]</w:t>
      </w:r>
      <w:r>
        <w:rPr>
          <w:rFonts w:ascii="Times New Roman" w:cs="Times New Roman" w:eastAsia="Times New Roman" w:hAnsi="Times New Roman"/>
        </w:rPr>
        <w:t xml:space="preserve"> actúa en el marco del beneficio de gratuidad del artículo 55, párrafo segundo, de la LDC.</w:t>
      </w:r>
    </w:p>
    <w:p>
      <w:pPr>
        <w:pStyle w:val="Heading1"/>
        <w:keepNext/>
        <w:spacing w:after="160" w:before="320" w:line="360"/>
      </w:pPr>
      <w:r>
        <w:rPr>
          <w:rFonts w:ascii="Times New Roman" w:cs="Times New Roman" w:eastAsia="Times New Roman" w:hAnsi="Times New Roman"/>
          <w:b/>
          <w:bCs/>
          <w:sz w:val="26"/>
          <w:szCs w:val="26"/>
        </w:rPr>
        <w:t xml:space="preserve">XIII. PETITORIO</w:t>
      </w:r>
    </w:p>
    <w:p>
      <w:pPr>
        <w:spacing w:after="160" w:line="360"/>
        <w:jc w:val="both"/>
      </w:pPr>
      <w:r>
        <w:rPr>
          <w:rFonts w:ascii="Times New Roman" w:cs="Times New Roman" w:eastAsia="Times New Roman" w:hAnsi="Times New Roman"/>
        </w:rPr>
        <w:t xml:space="preserve">Por todo lo expuesto, a V.S. solicitamos:</w:t>
      </w:r>
    </w:p>
    <w:p>
      <w:pPr>
        <w:spacing w:after="140" w:line="360"/>
        <w:ind w:left="720" w:hanging="360"/>
        <w:jc w:val="both"/>
      </w:pPr>
      <w:r>
        <w:rPr>
          <w:rFonts w:ascii="Times New Roman" w:cs="Times New Roman" w:eastAsia="Times New Roman" w:hAnsi="Times New Roman"/>
        </w:rPr>
        <w:t xml:space="preserve">1. Nos tenga por presentados, por parte en el carácter invocado, con el domicilio real, procesal y electrónico constituidos, y por acreditada la personería;</w:t>
      </w:r>
    </w:p>
    <w:p>
      <w:pPr>
        <w:spacing w:after="140" w:line="360"/>
        <w:ind w:left="720" w:hanging="360"/>
        <w:jc w:val="both"/>
      </w:pPr>
      <w:r>
        <w:rPr>
          <w:rFonts w:ascii="Times New Roman" w:cs="Times New Roman" w:eastAsia="Times New Roman" w:hAnsi="Times New Roman"/>
        </w:rPr>
        <w:t xml:space="preserve">2. Tenga por promovida la acción colectiva de consumo contra </w:t>
      </w:r>
      <w:r>
        <w:rPr>
          <w:rFonts w:ascii="Times New Roman" w:cs="Times New Roman" w:eastAsia="Times New Roman" w:hAnsi="Times New Roman"/>
          <w:b/>
          <w:bCs/>
        </w:rPr>
        <w:t xml:space="preserve">[DEMANDADA/S]</w:t>
      </w:r>
      <w:r>
        <w:rPr>
          <w:rFonts w:ascii="Times New Roman" w:cs="Times New Roman" w:eastAsia="Times New Roman" w:hAnsi="Times New Roman"/>
        </w:rPr>
        <w:t xml:space="preserve">;</w:t>
      </w:r>
    </w:p>
    <w:p>
      <w:pPr>
        <w:spacing w:after="140" w:line="360"/>
        <w:ind w:left="720" w:hanging="360"/>
        <w:jc w:val="both"/>
      </w:pPr>
      <w:r>
        <w:rPr>
          <w:rFonts w:ascii="Times New Roman" w:cs="Times New Roman" w:eastAsia="Times New Roman" w:hAnsi="Times New Roman"/>
        </w:rPr>
        <w:t xml:space="preserve">3. Consulte al Registro Público de Procesos Colectivos, disponga la inscripción del proceso y ordene la publicidad adecuada y el mecanismo de exclusión de la clase;</w:t>
      </w:r>
    </w:p>
    <w:p>
      <w:pPr>
        <w:spacing w:after="140" w:line="360"/>
        <w:ind w:left="720" w:hanging="360"/>
        <w:jc w:val="both"/>
      </w:pPr>
      <w:r>
        <w:rPr>
          <w:rFonts w:ascii="Times New Roman" w:cs="Times New Roman" w:eastAsia="Times New Roman" w:hAnsi="Times New Roman"/>
        </w:rPr>
        <w:t xml:space="preserve">4. Defina y certifique la clase y subclases propuestas, con las correcciones que estime corresponder;</w:t>
      </w:r>
    </w:p>
    <w:p>
      <w:pPr>
        <w:spacing w:after="140" w:line="360"/>
        <w:ind w:left="720" w:hanging="360"/>
        <w:jc w:val="both"/>
      </w:pPr>
      <w:r>
        <w:rPr>
          <w:rFonts w:ascii="Times New Roman" w:cs="Times New Roman" w:eastAsia="Times New Roman" w:hAnsi="Times New Roman"/>
        </w:rPr>
        <w:t xml:space="preserve">5. Dé intervención al Ministerio Público Fiscal;</w:t>
      </w:r>
    </w:p>
    <w:p>
      <w:pPr>
        <w:spacing w:after="140" w:line="360"/>
        <w:ind w:left="720" w:hanging="360"/>
        <w:jc w:val="both"/>
      </w:pPr>
      <w:r>
        <w:rPr>
          <w:rFonts w:ascii="Times New Roman" w:cs="Times New Roman" w:eastAsia="Times New Roman" w:hAnsi="Times New Roman"/>
        </w:rPr>
        <w:t xml:space="preserve">6. Disponga las medidas de preservación y tutela cautelar/preventiva del Capítulo IX;</w:t>
      </w:r>
    </w:p>
    <w:p>
      <w:pPr>
        <w:spacing w:after="140" w:line="360"/>
        <w:ind w:left="720" w:hanging="360"/>
        <w:jc w:val="both"/>
      </w:pPr>
      <w:r>
        <w:rPr>
          <w:rFonts w:ascii="Times New Roman" w:cs="Times New Roman" w:eastAsia="Times New Roman" w:hAnsi="Times New Roman"/>
        </w:rPr>
        <w:t xml:space="preserve">7. Tenga por ofrecida la prueba, ordene la exhibición y las diligencias preliminares del Capítulo VIII y provea las pericias e informes solicitados;</w:t>
      </w:r>
    </w:p>
    <w:p>
      <w:pPr>
        <w:spacing w:after="140" w:line="360"/>
        <w:ind w:left="720" w:hanging="360"/>
        <w:jc w:val="both"/>
      </w:pPr>
      <w:r>
        <w:rPr>
          <w:rFonts w:ascii="Times New Roman" w:cs="Times New Roman" w:eastAsia="Times New Roman" w:hAnsi="Times New Roman"/>
        </w:rPr>
        <w:t xml:space="preserve">8. Oportunamente, haga lugar a la demanda y en consecuencia: (a) declare la nulidad, ineficacia o carácter no escrito de las cláusulas y cargos que se acrediten; (b) reduzca los intereses que satisfagan el test del artículo 771 CCyC, imputando el exceso al capital; (c) ordene el recálculo de cada deuda y la restitución de las sumas indebidamente percibidas, con intereses, conforme al artículo 54 LDC; (d) ordene el cese y la corrección futura de las prácticas ilícitas; y (e) ordene a cada demandada identificar y reintegrar a todas las personas en igual situación (punto 2.3.5 TO BCRA), con auditoría y sin trámite oneroso;</w:t>
      </w:r>
    </w:p>
    <w:p>
      <w:pPr>
        <w:spacing w:after="140" w:line="360"/>
        <w:ind w:left="720" w:hanging="360"/>
        <w:jc w:val="both"/>
      </w:pPr>
      <w:r>
        <w:rPr>
          <w:rFonts w:ascii="Times New Roman" w:cs="Times New Roman" w:eastAsia="Times New Roman" w:hAnsi="Times New Roman"/>
        </w:rPr>
        <w:t xml:space="preserve">9. Imponga, si la prueba y el derecho aplicable lo justifican, la reparación de daños, la multa civil del artículo 52 bis LDC, intereses y costas;</w:t>
      </w:r>
    </w:p>
    <w:p>
      <w:pPr>
        <w:spacing w:after="140" w:line="360"/>
        <w:ind w:left="720" w:hanging="360"/>
        <w:jc w:val="both"/>
      </w:pPr>
      <w:r>
        <w:rPr>
          <w:rFonts w:ascii="Times New Roman" w:cs="Times New Roman" w:eastAsia="Times New Roman" w:hAnsi="Times New Roman"/>
        </w:rPr>
        <w:t xml:space="preserve">10. Tenga presente la reserva de remitir antecedentes al Ministerio Público Fiscal si surgieran elementos del artículo 175 bis del Código Penal; y</w:t>
      </w:r>
    </w:p>
    <w:p>
      <w:pPr>
        <w:spacing w:after="140" w:line="360"/>
        <w:ind w:left="720" w:hanging="360"/>
        <w:jc w:val="both"/>
      </w:pPr>
      <w:r>
        <w:rPr>
          <w:rFonts w:ascii="Times New Roman" w:cs="Times New Roman" w:eastAsia="Times New Roman" w:hAnsi="Times New Roman"/>
        </w:rPr>
        <w:t xml:space="preserve">11. Tenga presente la reserva del caso federal.</w:t>
      </w:r>
    </w:p>
    <w:p>
      <w:pPr>
        <w:spacing w:after="40" w:before="160" w:line="360"/>
        <w:jc w:val="center"/>
      </w:pPr>
      <w:r>
        <w:rPr>
          <w:rFonts w:ascii="Times New Roman" w:cs="Times New Roman" w:eastAsia="Times New Roman" w:hAnsi="Times New Roman"/>
        </w:rPr>
        <w:t xml:space="preserve">Proveer de conformidad,</w:t>
      </w:r>
    </w:p>
    <w:p>
      <w:pPr>
        <w:spacing w:after="240" w:before="0" w:line="360"/>
        <w:jc w:val="center"/>
      </w:pPr>
      <w:r>
        <w:rPr>
          <w:rFonts w:ascii="Times New Roman" w:cs="Times New Roman" w:eastAsia="Times New Roman" w:hAnsi="Times New Roman"/>
          <w:b/>
          <w:bCs/>
        </w:rPr>
        <w:t xml:space="preserve">SERÁ JUSTICIA.</w:t>
      </w:r>
    </w:p>
    <w:p>
      <w:pPr>
        <w:pBdr>
          <w:bottom w:val="single" w:color="888888" w:sz="6" w:space="4"/>
        </w:pBdr>
        <w:spacing w:after="120" w:before="80"/>
      </w:pPr>
      <w:r>
        <w:rPr>
          <w:rFonts w:ascii="Times New Roman" w:cs="Times New Roman" w:eastAsia="Times New Roman" w:hAnsi="Times New Roman"/>
        </w:rPr>
        <w:t xml:space="preserve"/>
      </w:r>
    </w:p>
    <w:p>
      <w:pPr>
        <w:pStyle w:val="Heading1"/>
        <w:keepNext/>
        <w:spacing w:after="160" w:before="320" w:line="360"/>
      </w:pPr>
      <w:r>
        <w:rPr>
          <w:rFonts w:ascii="Times New Roman" w:cs="Times New Roman" w:eastAsia="Times New Roman" w:hAnsi="Times New Roman"/>
          <w:b/>
          <w:bCs/>
          <w:sz w:val="26"/>
          <w:szCs w:val="26"/>
        </w:rPr>
        <w:t xml:space="preserve">ANEXO — CORRESPONDENCIA CON EL MANUSCRITO V0.7 Y JURISPRUDENCIA CITADA</w:t>
      </w:r>
    </w:p>
    <w:p>
      <w:pPr>
        <w:spacing w:after="160" w:line="360"/>
        <w:jc w:val="both"/>
      </w:pPr>
      <w:r>
        <w:rPr>
          <w:rFonts w:ascii="Times New Roman" w:cs="Times New Roman" w:eastAsia="Times New Roman" w:hAnsi="Times New Roman"/>
          <w:b/>
          <w:bCs/>
        </w:rPr>
        <w:t xml:space="preserve">Trazabilidad.</w:t>
      </w:r>
      <w:r>
        <w:rPr>
          <w:rFonts w:ascii="Times New Roman" w:cs="Times New Roman" w:eastAsia="Times New Roman" w:hAnsi="Times New Roman"/>
        </w:rPr>
        <w:t xml:space="preserve"> Este escrito reorganiza en forma de demanda el contenido del Manuscrito V0.7. Correspondencias principales: Objeto (Cap. I) ↔ §2.1 y §1.1; Admisibilidad y clase (Cap. V) ↔ §5 y §4; Hechos (Cap. VI) ↔ §3; Derecho (Cap. VII) ↔ §6; Prueba (Cap. VIII) ↔ §8 y §7; Cautelar (Cap. IX) ↔ §9; Reparación (Petitorio 8) ↔ §10. Los anexos documentales (E, C, M, B, T, IIF, N, R, MV) y sus huellas SHA-256 se conservan en el Cap. 15 del manuscrito y en el archivo INDICE_DOCUMENTAL.csv.</w:t>
      </w:r>
    </w:p>
    <w:p>
      <w:pPr>
        <w:spacing w:after="160" w:line="360"/>
        <w:jc w:val="both"/>
      </w:pPr>
      <w:r>
        <w:rPr>
          <w:rFonts w:ascii="Times New Roman" w:cs="Times New Roman" w:eastAsia="Times New Roman" w:hAnsi="Times New Roman"/>
          <w:b/>
          <w:bCs/>
        </w:rPr>
        <w:t xml:space="preserve">Jurisprudencia incorporada al escrito:</w:t>
      </w:r>
    </w:p>
    <w:tbl>
      <w:tblPr>
        <w:tblW w:type="dxa" w:w="9200"/>
        <w:tblBorders>
          <w:top w:val="single" w:color="999999" w:sz="4"/>
          <w:left w:val="single" w:color="999999" w:sz="4"/>
          <w:bottom w:val="single" w:color="999999" w:sz="4"/>
          <w:right w:val="single" w:color="999999" w:sz="4"/>
          <w:insideH w:val="single" w:color="auto" w:sz="4"/>
          <w:insideV w:val="single" w:color="auto" w:sz="4"/>
        </w:tblBorders>
      </w:tblPr>
      <w:tblGrid>
        <w:gridCol w:w="2600"/>
        <w:gridCol w:w="1900"/>
        <w:gridCol w:w="4700"/>
      </w:tblGrid>
      <w:tr>
        <w:trPr>
          <w:tblHeader/>
        </w:trPr>
        <w:tc>
          <w:tcPr>
            <w:tcW w:type="dxa" w:w="2600"/>
            <w:shd w:fill="E7E7E7" w:val="clear"/>
            <w:tcMar>
              <w:top w:type="dxa" w:w="40"/>
              <w:left w:type="dxa" w:w="80"/>
              <w:bottom w:type="dxa" w:w="40"/>
              <w:right w:type="dxa" w:w="80"/>
            </w:tcMar>
          </w:tcPr>
          <w:p>
            <w:pPr>
              <w:spacing w:after="0" w:line="300"/>
              <w:jc w:val="left"/>
            </w:pPr>
            <w:r>
              <w:rPr>
                <w:rFonts w:ascii="Times New Roman" w:cs="Times New Roman" w:eastAsia="Times New Roman" w:hAnsi="Times New Roman"/>
                <w:b/>
                <w:bCs/>
                <w:sz w:val="18"/>
                <w:szCs w:val="18"/>
              </w:rPr>
              <w:t xml:space="preserve">Precedente</w:t>
            </w:r>
          </w:p>
        </w:tc>
        <w:tc>
          <w:tcPr>
            <w:tcW w:type="dxa" w:w="1900"/>
            <w:shd w:fill="E7E7E7" w:val="clear"/>
            <w:tcMar>
              <w:top w:type="dxa" w:w="40"/>
              <w:left w:type="dxa" w:w="80"/>
              <w:bottom w:type="dxa" w:w="40"/>
              <w:right w:type="dxa" w:w="80"/>
            </w:tcMar>
          </w:tcPr>
          <w:p>
            <w:pPr>
              <w:spacing w:after="0" w:line="300"/>
              <w:jc w:val="left"/>
            </w:pPr>
            <w:r>
              <w:rPr>
                <w:rFonts w:ascii="Times New Roman" w:cs="Times New Roman" w:eastAsia="Times New Roman" w:hAnsi="Times New Roman"/>
                <w:b/>
                <w:bCs/>
                <w:sz w:val="18"/>
                <w:szCs w:val="18"/>
              </w:rPr>
              <w:t xml:space="preserve">Cita</w:t>
            </w:r>
          </w:p>
        </w:tc>
        <w:tc>
          <w:tcPr>
            <w:tcW w:type="dxa" w:w="4700"/>
            <w:shd w:fill="E7E7E7" w:val="clear"/>
            <w:tcMar>
              <w:top w:type="dxa" w:w="40"/>
              <w:left w:type="dxa" w:w="80"/>
              <w:bottom w:type="dxa" w:w="40"/>
              <w:right w:type="dxa" w:w="80"/>
            </w:tcMar>
          </w:tcPr>
          <w:p>
            <w:pPr>
              <w:spacing w:after="0" w:line="300"/>
              <w:jc w:val="left"/>
            </w:pPr>
            <w:r>
              <w:rPr>
                <w:rFonts w:ascii="Times New Roman" w:cs="Times New Roman" w:eastAsia="Times New Roman" w:hAnsi="Times New Roman"/>
                <w:b/>
                <w:bCs/>
                <w:sz w:val="18"/>
                <w:szCs w:val="18"/>
              </w:rPr>
              <w:t xml:space="preserve">Uso en la demanda</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CSJN, «Halabi c/ PEN»</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Fallos 332:111 (2009)</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Recaudos de la acción colectiva por derechos individuales homogéneos (Cap. V.1)</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CSJN, «PADEC c/ Swiss Medical»</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Fallos 336:1236 (2013)</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Legitimación de asociaciones para impugnar cláusulas predispuestas (Cap. II)</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CSJN, «Consumidores Financieros c/ Banco Itaú»</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Fallos 337:753 (2014)</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Vía colectiva contra banco por cargos y TEA (Cap. II)</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CSJN, «PADEC/Prevención c/ BankBoston»</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Fallos 340:172 (2017)</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Aprobación del BCRA no excluye control de abusividad; no saneamiento por consentimiento tácito (Cap. VII.3)</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SCBA, «Asoc. Mutual Asís c/ Cubilla»</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 121.684 (2019)</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Integración causal del pagaré (art. 36 LDC) y revisión de intereses (art. 771) (Cap. VII.4)</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CNCom., Sala B, «Custo c/ Banco Santander Río»</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(03/09/2025)</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Deber probatorio del proveedor (art. 53 LDC); carga dinámica (Cap. VII.7)</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Cám. Civ. Com. San Isidro, «Banco Macro c/ Fraschini»</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(2018)</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Omisión de TEA → tasa pasiva promedio (art. 36 LDC) (Cap. VII.2)</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Cám. Civ. Com. Mar del Plata, «Finanpro c/ Alcaire Petto»</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(2019)</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Comparación de operaciones semejantes; interés sobre saldo; omisión de CFT (Cap. VII.2 y VII.4)</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Cám. Civ. Com. San Martín, «BPBA c/ Correa»</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(2025)</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Inhabilidad del título por no discriminar composición de pagos (Cap. VII.2)</w:t>
            </w:r>
          </w:p>
        </w:tc>
      </w:tr>
      <w:tr>
        <w:tc>
          <w:tcPr>
            <w:tcW w:type="dxa" w:w="26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Cám. Civ. Com. La Plata, «BPBA c/ Mugnolo»</w:t>
            </w:r>
          </w:p>
        </w:tc>
        <w:tc>
          <w:tcPr>
            <w:tcW w:type="dxa" w:w="19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(2025)</w:t>
            </w:r>
          </w:p>
        </w:tc>
        <w:tc>
          <w:tcPr>
            <w:tcW w:type="dxa" w:w="4700"/>
            <w:tcMar>
              <w:top w:type="dxa" w:w="40"/>
              <w:left w:type="dxa" w:w="80"/>
              <w:bottom w:type="dxa" w:w="40"/>
              <w:right w:type="dxa" w:w="80"/>
            </w:tcMar>
          </w:tcPr>
          <w:p>
            <w:pPr>
              <w:spacing w:after="0" w:line="300"/>
              <w:jc w:val="left"/>
            </w:pPr>
            <w:r>
              <w:rPr>
                <w:rFonts w:ascii="Times New Roman" w:cs="Times New Roman" w:eastAsia="Times New Roman" w:hAnsi="Times New Roman"/>
                <w:b w:val="false"/>
                <w:bCs w:val="false"/>
                <w:sz w:val="18"/>
                <w:szCs w:val="18"/>
              </w:rPr>
              <w:t xml:space="preserve">Créditos ajustables (UVA/CER) y test del art. 771 (Cap. VII.4)</w:t>
            </w:r>
          </w:p>
        </w:tc>
      </w:tr>
    </w:tbl>
    <w:p>
      <w:pPr>
        <w:pBdr>
          <w:left w:val="single" w:color="555555" w:sz="12" w:space="12"/>
        </w:pBdr>
        <w:spacing w:after="160" w:before="80" w:line="360"/>
        <w:ind w:left="720" w:right="360"/>
        <w:jc w:val="both"/>
      </w:pPr>
      <w:r>
        <w:rPr>
          <w:rFonts w:ascii="Times New Roman" w:cs="Times New Roman" w:eastAsia="Times New Roman" w:hAnsi="Times New Roman"/>
          <w:i/>
          <w:iCs/>
        </w:rPr>
        <w:t xml:space="preserve">Los fallos de cámaras provinciales son persuasivos y específicos, no constituyen regla nacional automática, y deben verificarse en su texto completo y firmeza antes de la presentación.</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color w:val="666666"/>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0"/>
      <w:jc w:val="right"/>
    </w:pPr>
    <w:r>
      <w:rPr>
        <w:rFonts w:ascii="Times New Roman" w:cs="Times New Roman" w:eastAsia="Times New Roman" w:hAnsi="Times New Roman"/>
        <w:i/>
        <w:iCs/>
        <w:color w:val="666666"/>
        <w:sz w:val="16"/>
        <w:szCs w:val="16"/>
      </w:rPr>
      <w:t xml:space="preserve">Demanda de acción colectiva de consumo — V1.0 (prototipo, sujeto a revisión de letrado/a)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Demanda de acción colectiva de consumo V1.0</dc:title>
  <dc:creator>Reclamo colectivo — expediente de trabajo</dc:creator>
  <cp:lastModifiedBy>Un-named</cp:lastModifiedBy>
  <cp:revision>1</cp:revision>
  <dcterms:created xsi:type="dcterms:W3CDTF">2026-08-30T06:43:21.211Z</dcterms:created>
  <dcterms:modified xsi:type="dcterms:W3CDTF">2026-08-30T06:43:21.212Z</dcterms:modified>
</cp:coreProperties>
</file>

<file path=docProps/custom.xml><?xml version="1.0" encoding="utf-8"?>
<Properties xmlns="http://schemas.openxmlformats.org/officeDocument/2006/custom-properties" xmlns:vt="http://schemas.openxmlformats.org/officeDocument/2006/docPropsVTypes"/>
</file>