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905" w:rsidRPr="005E0905" w:rsidRDefault="005E0905" w:rsidP="005E0905">
      <w:pPr>
        <w:spacing w:before="199" w:after="0" w:line="240" w:lineRule="auto"/>
        <w:outlineLvl w:val="1"/>
        <w:rPr>
          <w:rFonts w:ascii="inherit" w:eastAsia="Times New Roman" w:hAnsi="inherit" w:cs="Times New Roman"/>
          <w:b/>
          <w:bCs/>
          <w:color w:val="404040"/>
          <w:sz w:val="40"/>
          <w:szCs w:val="40"/>
        </w:rPr>
      </w:pPr>
      <w:bookmarkStart w:id="0" w:name="_GoBack"/>
      <w:bookmarkEnd w:id="0"/>
      <w:r w:rsidRPr="005E0905">
        <w:rPr>
          <w:rFonts w:ascii="inherit" w:eastAsia="Times New Roman" w:hAnsi="inherit" w:cs="Times New Roman"/>
          <w:b/>
          <w:bCs/>
          <w:color w:val="404040"/>
          <w:sz w:val="40"/>
          <w:szCs w:val="40"/>
        </w:rPr>
        <w:t>Appendix B. OAuth2 grant types</w:t>
      </w:r>
    </w:p>
    <w:p w:rsidR="005E0905" w:rsidRPr="005E0905" w:rsidRDefault="005E0905" w:rsidP="005E0905">
      <w:pPr>
        <w:shd w:val="clear" w:color="auto" w:fill="FFFFFF"/>
        <w:spacing w:before="375" w:after="240" w:line="240" w:lineRule="auto"/>
        <w:rPr>
          <w:rFonts w:ascii="inherit" w:eastAsia="Times New Roman" w:hAnsi="inherit" w:cs="Times New Roman"/>
          <w:color w:val="333333"/>
          <w:sz w:val="28"/>
          <w:szCs w:val="28"/>
        </w:rPr>
      </w:pPr>
      <w:r w:rsidRPr="005E0905">
        <w:rPr>
          <w:rFonts w:ascii="inherit" w:eastAsia="Times New Roman" w:hAnsi="inherit" w:cs="Times New Roman"/>
          <w:i/>
          <w:iCs/>
          <w:color w:val="333333"/>
          <w:sz w:val="28"/>
          <w:szCs w:val="28"/>
        </w:rPr>
        <w:t>This appendix covers</w:t>
      </w:r>
    </w:p>
    <w:p w:rsidR="005E0905" w:rsidRPr="005E0905" w:rsidRDefault="005E0905" w:rsidP="005E0905">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OAuth2 Password grant</w:t>
      </w:r>
    </w:p>
    <w:p w:rsidR="005E0905" w:rsidRPr="005E0905" w:rsidRDefault="005E0905" w:rsidP="005E0905">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OAuth2 Client credentials grant</w:t>
      </w:r>
    </w:p>
    <w:p w:rsidR="005E0905" w:rsidRPr="005E0905" w:rsidRDefault="005E0905" w:rsidP="005E0905">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OAuth2 Authorization code grant</w:t>
      </w:r>
    </w:p>
    <w:p w:rsidR="005E0905" w:rsidRPr="005E0905" w:rsidRDefault="005E0905" w:rsidP="005E0905">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OAuth2 Implicit credentials grant</w:t>
      </w:r>
    </w:p>
    <w:p w:rsidR="005E0905" w:rsidRPr="005E0905" w:rsidRDefault="005E0905" w:rsidP="005E0905">
      <w:pPr>
        <w:numPr>
          <w:ilvl w:val="0"/>
          <w:numId w:val="3"/>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OAuth2 Token Refreshing</w:t>
      </w:r>
    </w:p>
    <w:p w:rsidR="005E0905" w:rsidRPr="005E0905" w:rsidRDefault="005E0905" w:rsidP="005E0905">
      <w:pPr>
        <w:shd w:val="clear" w:color="auto" w:fill="FFFFFF"/>
        <w:spacing w:before="375" w:after="24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From reading </w:t>
      </w:r>
      <w:hyperlink r:id="rId5" w:anchor="ch07" w:history="1">
        <w:r w:rsidRPr="005E0905">
          <w:rPr>
            <w:rFonts w:ascii="Times" w:eastAsia="Times New Roman" w:hAnsi="Times" w:cs="Times"/>
            <w:color w:val="070707"/>
            <w:sz w:val="28"/>
            <w:szCs w:val="28"/>
            <w:u w:val="single"/>
          </w:rPr>
          <w:t>chapter 7</w:t>
        </w:r>
      </w:hyperlink>
      <w:r w:rsidRPr="005E0905">
        <w:rPr>
          <w:rFonts w:ascii="inherit" w:eastAsia="Times New Roman" w:hAnsi="inherit" w:cs="Times New Roman"/>
          <w:color w:val="333333"/>
          <w:sz w:val="28"/>
          <w:szCs w:val="28"/>
        </w:rPr>
        <w:t>, you might be thinking that OAuth2 doesn’t look too complicated. After all, you have an authentication service that checks a user’s credentials and issues a token back to the user. The token can, in turn, be presented every time the user wants to call a service protected by the OAuth2 server.</w:t>
      </w:r>
    </w:p>
    <w:p w:rsidR="005E0905" w:rsidRPr="005E0905" w:rsidRDefault="005E0905" w:rsidP="005E0905">
      <w:pPr>
        <w:shd w:val="clear" w:color="auto" w:fill="FFFFFF"/>
        <w:spacing w:before="375" w:after="24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Unfortunately, the real world is never simple. With the interconnected nature of the web and cloud-based applications, users have come to expect that they can securely share their data and integrate functionality between different applications owned by different services. This presents a unique challenge from a security perspective because you want to integrate across different applications while not forcing users to share their credentials with each application they want to integrate with.</w:t>
      </w:r>
    </w:p>
    <w:p w:rsidR="005E0905" w:rsidRPr="005E0905" w:rsidRDefault="005E0905" w:rsidP="005E0905">
      <w:pPr>
        <w:shd w:val="clear" w:color="auto" w:fill="FFFFFF"/>
        <w:spacing w:before="375" w:after="24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Fortunately, OAuth2 is a flexible authorization framework that provides multiple mechanisms for applications to authenticate and authorize users without forcing them to share credentials. Unfortunately, it’s also one of the reasons why OAuth2 is considered complicated. These authentication mechanisms are called authentication grants. OAuth2 has four forms of authentication grants that client applications can use to authenticate users, receive an access token, and then validate that token. These grants are</w:t>
      </w:r>
    </w:p>
    <w:p w:rsidR="005E0905" w:rsidRPr="005E0905" w:rsidRDefault="005E0905" w:rsidP="005E0905">
      <w:pPr>
        <w:numPr>
          <w:ilvl w:val="0"/>
          <w:numId w:val="4"/>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Password</w:t>
      </w:r>
    </w:p>
    <w:p w:rsidR="005E0905" w:rsidRPr="005E0905" w:rsidRDefault="005E0905" w:rsidP="005E0905">
      <w:pPr>
        <w:numPr>
          <w:ilvl w:val="0"/>
          <w:numId w:val="4"/>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Client credential</w:t>
      </w:r>
    </w:p>
    <w:p w:rsidR="005E0905" w:rsidRPr="005E0905" w:rsidRDefault="005E0905" w:rsidP="005E0905">
      <w:pPr>
        <w:numPr>
          <w:ilvl w:val="0"/>
          <w:numId w:val="4"/>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Authorization code</w:t>
      </w:r>
    </w:p>
    <w:p w:rsidR="005E0905" w:rsidRPr="005E0905" w:rsidRDefault="005E0905" w:rsidP="005E0905">
      <w:pPr>
        <w:numPr>
          <w:ilvl w:val="0"/>
          <w:numId w:val="4"/>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Implicit</w:t>
      </w:r>
    </w:p>
    <w:p w:rsidR="005E0905" w:rsidRPr="005E0905" w:rsidRDefault="005E0905" w:rsidP="005E0905">
      <w:pPr>
        <w:shd w:val="clear" w:color="auto" w:fill="FFFFFF"/>
        <w:spacing w:before="375" w:after="24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lastRenderedPageBreak/>
        <w:t>In the following sections I walk through the activities that take place during the execution of each of these OAuth2 grant flows. I also talk about when to use one grant type over another.</w:t>
      </w:r>
    </w:p>
    <w:p w:rsidR="005E0905" w:rsidRPr="005E0905" w:rsidRDefault="005E0905" w:rsidP="005E0905">
      <w:pPr>
        <w:spacing w:before="600" w:after="0" w:line="240" w:lineRule="auto"/>
        <w:outlineLvl w:val="2"/>
        <w:rPr>
          <w:rFonts w:ascii="inherit" w:eastAsia="Times New Roman" w:hAnsi="inherit" w:cs="Times New Roman"/>
          <w:b/>
          <w:bCs/>
          <w:caps/>
          <w:color w:val="404040"/>
          <w:spacing w:val="15"/>
          <w:sz w:val="32"/>
          <w:szCs w:val="32"/>
        </w:rPr>
      </w:pPr>
      <w:r w:rsidRPr="005E0905">
        <w:rPr>
          <w:rFonts w:ascii="inherit" w:eastAsia="Times New Roman" w:hAnsi="inherit" w:cs="Times New Roman"/>
          <w:b/>
          <w:bCs/>
          <w:caps/>
          <w:color w:val="404040"/>
          <w:spacing w:val="15"/>
          <w:sz w:val="32"/>
          <w:szCs w:val="32"/>
        </w:rPr>
        <w:t>B.1. PASSWORD GRANTS</w:t>
      </w:r>
    </w:p>
    <w:p w:rsidR="005E0905" w:rsidRPr="005E0905" w:rsidRDefault="005E0905" w:rsidP="005E0905">
      <w:pPr>
        <w:shd w:val="clear" w:color="auto" w:fill="FFFFFF"/>
        <w:spacing w:before="375" w:after="24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An OAuth2 password grant is probably the most straightforward grant type to understand. This grant type is used when both the application and the services explicitly trust one another. For example,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web application and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web services (the licensing and organization) are both owned by </w:t>
      </w:r>
      <w:proofErr w:type="spellStart"/>
      <w:r w:rsidRPr="005E0905">
        <w:rPr>
          <w:rFonts w:ascii="inherit" w:eastAsia="Times New Roman" w:hAnsi="inherit" w:cs="Times New Roman"/>
          <w:color w:val="333333"/>
          <w:sz w:val="28"/>
          <w:szCs w:val="28"/>
        </w:rPr>
        <w:t>ThoughtMechanix</w:t>
      </w:r>
      <w:proofErr w:type="spellEnd"/>
      <w:r w:rsidRPr="005E0905">
        <w:rPr>
          <w:rFonts w:ascii="inherit" w:eastAsia="Times New Roman" w:hAnsi="inherit" w:cs="Times New Roman"/>
          <w:color w:val="333333"/>
          <w:sz w:val="28"/>
          <w:szCs w:val="28"/>
        </w:rPr>
        <w:t>, so there’s a natural trust relationship that exists between them.</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5E0905" w:rsidRPr="005E0905" w:rsidTr="005E0905">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0905" w:rsidRPr="005E0905" w:rsidRDefault="005E0905" w:rsidP="005E0905">
            <w:pPr>
              <w:spacing w:after="0" w:line="240" w:lineRule="auto"/>
              <w:rPr>
                <w:rFonts w:ascii="inherit" w:eastAsia="Times New Roman" w:hAnsi="inherit" w:cs="Times New Roman"/>
                <w:color w:val="333333"/>
                <w:sz w:val="28"/>
                <w:szCs w:val="28"/>
              </w:rPr>
            </w:pPr>
          </w:p>
        </w:tc>
      </w:tr>
    </w:tbl>
    <w:p w:rsidR="005E0905" w:rsidRPr="005E0905" w:rsidRDefault="005E0905" w:rsidP="005E0905">
      <w:pPr>
        <w:spacing w:before="100" w:beforeAutospacing="1" w:after="100" w:afterAutospacing="1" w:line="240" w:lineRule="auto"/>
        <w:outlineLvl w:val="4"/>
        <w:rPr>
          <w:rFonts w:ascii="inherit" w:eastAsia="Times New Roman" w:hAnsi="inherit" w:cs="Times New Roman"/>
          <w:b/>
          <w:bCs/>
          <w:color w:val="404040"/>
          <w:sz w:val="23"/>
          <w:szCs w:val="23"/>
        </w:rPr>
      </w:pPr>
      <w:r w:rsidRPr="005E0905">
        <w:rPr>
          <w:rFonts w:ascii="inherit" w:eastAsia="Times New Roman" w:hAnsi="inherit" w:cs="Times New Roman"/>
          <w:b/>
          <w:bCs/>
          <w:color w:val="404040"/>
          <w:sz w:val="23"/>
          <w:szCs w:val="23"/>
        </w:rPr>
        <w:t>Note</w:t>
      </w:r>
    </w:p>
    <w:p w:rsidR="005E0905" w:rsidRPr="005E0905" w:rsidRDefault="005E0905" w:rsidP="005E0905">
      <w:pPr>
        <w:shd w:val="clear" w:color="auto" w:fill="FFFFFF"/>
        <w:spacing w:before="240" w:after="24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To be explicit, when I refer to a “natural trust relationship” I mean that the application and services are completely owned by the same organization. They’re managed under the same policies and procedures.</w:t>
      </w:r>
    </w:p>
    <w:tbl>
      <w:tblPr>
        <w:tblW w:w="5000" w:type="pct"/>
        <w:tblCellSpacing w:w="37"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9344"/>
      </w:tblGrid>
      <w:tr w:rsidR="005E0905" w:rsidRPr="005E0905" w:rsidTr="005E0905">
        <w:trPr>
          <w:tblCellSpacing w:w="37"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hideMark/>
          </w:tcPr>
          <w:p w:rsidR="005E0905" w:rsidRPr="005E0905" w:rsidRDefault="005E0905" w:rsidP="005E0905">
            <w:pPr>
              <w:spacing w:after="0" w:line="240" w:lineRule="auto"/>
              <w:rPr>
                <w:rFonts w:ascii="inherit" w:eastAsia="Times New Roman" w:hAnsi="inherit" w:cs="Times New Roman"/>
                <w:color w:val="333333"/>
                <w:sz w:val="28"/>
                <w:szCs w:val="28"/>
              </w:rPr>
            </w:pPr>
          </w:p>
        </w:tc>
      </w:tr>
    </w:tbl>
    <w:p w:rsidR="005E0905" w:rsidRPr="005E0905" w:rsidRDefault="005E0905" w:rsidP="005E0905">
      <w:pPr>
        <w:shd w:val="clear" w:color="auto" w:fill="FFFFFF"/>
        <w:spacing w:before="375" w:after="24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When a natural trust relationship exists, there’s little concern about exposing an OAuth2 access token to the calling application. For example,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web application can use the OAuth2 password grant to capture the user’s credentials and directly authenticate against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OAuth2 service. </w:t>
      </w:r>
      <w:hyperlink r:id="rId6" w:anchor="app02fig01" w:history="1">
        <w:r w:rsidRPr="005E0905">
          <w:rPr>
            <w:rFonts w:ascii="Times" w:eastAsia="Times New Roman" w:hAnsi="Times" w:cs="Times"/>
            <w:color w:val="070707"/>
            <w:sz w:val="28"/>
            <w:szCs w:val="28"/>
            <w:u w:val="single"/>
          </w:rPr>
          <w:t>Figure B.1</w:t>
        </w:r>
      </w:hyperlink>
      <w:r w:rsidRPr="005E0905">
        <w:rPr>
          <w:rFonts w:ascii="inherit" w:eastAsia="Times New Roman" w:hAnsi="inherit" w:cs="Times New Roman"/>
          <w:color w:val="333333"/>
          <w:sz w:val="28"/>
          <w:szCs w:val="28"/>
        </w:rPr>
        <w:t xml:space="preserve"> shows the password grant in action between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and the downstream services.</w:t>
      </w:r>
    </w:p>
    <w:p w:rsidR="005E0905" w:rsidRPr="005E0905" w:rsidRDefault="005E0905" w:rsidP="005E0905">
      <w:pPr>
        <w:spacing w:before="100" w:beforeAutospacing="1" w:after="100" w:afterAutospacing="1" w:line="240" w:lineRule="auto"/>
        <w:outlineLvl w:val="4"/>
        <w:rPr>
          <w:rFonts w:ascii="inherit" w:eastAsia="Times New Roman" w:hAnsi="inherit" w:cs="Times New Roman"/>
          <w:b/>
          <w:bCs/>
          <w:color w:val="404040"/>
          <w:sz w:val="23"/>
          <w:szCs w:val="23"/>
        </w:rPr>
      </w:pPr>
      <w:r w:rsidRPr="005E0905">
        <w:rPr>
          <w:rFonts w:ascii="inherit" w:eastAsia="Times New Roman" w:hAnsi="inherit" w:cs="Times New Roman"/>
          <w:b/>
          <w:bCs/>
          <w:color w:val="404040"/>
          <w:sz w:val="23"/>
          <w:szCs w:val="23"/>
        </w:rPr>
        <w:t>Figure B.1. The OAuth2 service determines if the user accessing the service is an authenticated user.</w:t>
      </w:r>
    </w:p>
    <w:p w:rsidR="005E0905" w:rsidRPr="005E0905" w:rsidRDefault="005E0905" w:rsidP="005E0905">
      <w:pPr>
        <w:shd w:val="clear" w:color="auto" w:fill="FFFFFF"/>
        <w:spacing w:before="240" w:after="240" w:line="240" w:lineRule="auto"/>
        <w:rPr>
          <w:rFonts w:ascii="inherit" w:eastAsia="Times New Roman" w:hAnsi="inherit" w:cs="Times New Roman"/>
          <w:color w:val="333333"/>
          <w:sz w:val="28"/>
          <w:szCs w:val="28"/>
        </w:rPr>
      </w:pPr>
      <w:r w:rsidRPr="005E0905">
        <w:rPr>
          <w:rFonts w:ascii="inherit" w:eastAsia="Times New Roman" w:hAnsi="inherit" w:cs="Times New Roman"/>
          <w:noProof/>
          <w:color w:val="333333"/>
          <w:sz w:val="28"/>
          <w:szCs w:val="28"/>
        </w:rPr>
        <w:lastRenderedPageBreak/>
        <w:drawing>
          <wp:inline distT="0" distB="0" distL="0" distR="0">
            <wp:extent cx="5619750" cy="2981325"/>
            <wp:effectExtent l="0" t="0" r="0" b="9525"/>
            <wp:docPr id="5" name="Picture 5" descr="https://www.safaribooksonline.com/library/view/spring-microservices-in/9781617293986/bfig01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spring-microservices-in/9781617293986/bfig01_a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2981325"/>
                    </a:xfrm>
                    <a:prstGeom prst="rect">
                      <a:avLst/>
                    </a:prstGeom>
                    <a:noFill/>
                    <a:ln>
                      <a:noFill/>
                    </a:ln>
                  </pic:spPr>
                </pic:pic>
              </a:graphicData>
            </a:graphic>
          </wp:inline>
        </w:drawing>
      </w:r>
    </w:p>
    <w:p w:rsidR="005E0905" w:rsidRPr="005E0905" w:rsidRDefault="005E0905" w:rsidP="005E0905">
      <w:pPr>
        <w:shd w:val="clear" w:color="auto" w:fill="FFFFFF"/>
        <w:spacing w:before="375" w:after="24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In </w:t>
      </w:r>
      <w:hyperlink r:id="rId8" w:anchor="app02fig01" w:history="1">
        <w:r w:rsidRPr="005E0905">
          <w:rPr>
            <w:rFonts w:ascii="Times" w:eastAsia="Times New Roman" w:hAnsi="Times" w:cs="Times"/>
            <w:color w:val="070707"/>
            <w:sz w:val="28"/>
            <w:szCs w:val="28"/>
            <w:u w:val="single"/>
          </w:rPr>
          <w:t>figure B.1</w:t>
        </w:r>
      </w:hyperlink>
      <w:r w:rsidRPr="005E0905">
        <w:rPr>
          <w:rFonts w:ascii="inherit" w:eastAsia="Times New Roman" w:hAnsi="inherit" w:cs="Times New Roman"/>
          <w:color w:val="333333"/>
          <w:sz w:val="28"/>
          <w:szCs w:val="28"/>
        </w:rPr>
        <w:t> the following actions are taking place:</w:t>
      </w:r>
    </w:p>
    <w:p w:rsidR="005E0905" w:rsidRPr="005E0905" w:rsidRDefault="005E0905" w:rsidP="005E0905">
      <w:pPr>
        <w:numPr>
          <w:ilvl w:val="0"/>
          <w:numId w:val="5"/>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Before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application can use a protected resource, it needs to be uniquely identified within the OAuth2 service. Normally, the owner of the application registers with the OAuth2 application service and provides a unique name for their application. The OAuth2 service then provides a secret key back to registering the application. The name of the application and the secret key provided by the OAuth2 service uniquely identifies the application trying to access any protected resources.</w:t>
      </w:r>
    </w:p>
    <w:p w:rsidR="005E0905" w:rsidRPr="005E0905" w:rsidRDefault="005E0905" w:rsidP="005E0905">
      <w:pPr>
        <w:numPr>
          <w:ilvl w:val="0"/>
          <w:numId w:val="5"/>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The user logs into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and provides their login credentials to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application.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passes the user credentials, along with the application name/application secret key, directly to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OAuth2 service.</w:t>
      </w:r>
    </w:p>
    <w:p w:rsidR="005E0905" w:rsidRPr="005E0905" w:rsidRDefault="005E0905" w:rsidP="005E0905">
      <w:pPr>
        <w:numPr>
          <w:ilvl w:val="0"/>
          <w:numId w:val="5"/>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OAuth2 service authenticates the application and the user and then provides an OAuth2 access token back to the user.</w:t>
      </w:r>
    </w:p>
    <w:p w:rsidR="005E0905" w:rsidRPr="005E0905" w:rsidRDefault="005E0905" w:rsidP="005E0905">
      <w:pPr>
        <w:numPr>
          <w:ilvl w:val="0"/>
          <w:numId w:val="5"/>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Every time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application calls a service on behalf of the user, it passes along the access token provided by the OAuth2 server.</w:t>
      </w:r>
    </w:p>
    <w:p w:rsidR="005E0905" w:rsidRPr="005E0905" w:rsidRDefault="005E0905" w:rsidP="005E0905">
      <w:pPr>
        <w:numPr>
          <w:ilvl w:val="0"/>
          <w:numId w:val="5"/>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When a protected service is called (in this case, the licensing and organization service), the service calls back into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OAuth2 service to validate the token. If the token is good, the service being invoked allows the user to proceed. If the token is invalid, the OAuth2 service returns back an HTTP status code of 403, indicating that the token is invalid.</w:t>
      </w:r>
    </w:p>
    <w:p w:rsidR="005E0905" w:rsidRPr="005E0905" w:rsidRDefault="005E0905" w:rsidP="005E0905">
      <w:pPr>
        <w:spacing w:before="600" w:after="0" w:line="240" w:lineRule="auto"/>
        <w:outlineLvl w:val="2"/>
        <w:rPr>
          <w:rFonts w:ascii="inherit" w:eastAsia="Times New Roman" w:hAnsi="inherit" w:cs="Times New Roman"/>
          <w:b/>
          <w:bCs/>
          <w:caps/>
          <w:color w:val="404040"/>
          <w:spacing w:val="15"/>
          <w:sz w:val="32"/>
          <w:szCs w:val="32"/>
        </w:rPr>
      </w:pPr>
      <w:r w:rsidRPr="005E0905">
        <w:rPr>
          <w:rFonts w:ascii="inherit" w:eastAsia="Times New Roman" w:hAnsi="inherit" w:cs="Times New Roman"/>
          <w:b/>
          <w:bCs/>
          <w:caps/>
          <w:color w:val="404040"/>
          <w:spacing w:val="15"/>
          <w:sz w:val="32"/>
          <w:szCs w:val="32"/>
        </w:rPr>
        <w:lastRenderedPageBreak/>
        <w:t>B.2. CLIENT CREDENTIAL GRANTS</w:t>
      </w:r>
    </w:p>
    <w:p w:rsidR="005E0905" w:rsidRPr="005E0905" w:rsidRDefault="005E0905" w:rsidP="005E0905">
      <w:pPr>
        <w:shd w:val="clear" w:color="auto" w:fill="FFFFFF"/>
        <w:spacing w:before="375" w:after="24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The client credentials grant is typically used when an application needs to access an OAuth2 protected resource, but no human being is involved in the transaction. With the client credentials grant type, the OAuth2 server only authenticates based on application name and the secret key provided by the owner of the resource. Again, the client credential task is usually used when both applications are owned by the same company. The difference between the password grant and the client credential grant is that a client credential grant authenticates by only using the registered application name and the secret key.</w:t>
      </w:r>
    </w:p>
    <w:p w:rsidR="005E0905" w:rsidRPr="005E0905" w:rsidRDefault="005E0905" w:rsidP="005E0905">
      <w:pPr>
        <w:shd w:val="clear" w:color="auto" w:fill="FFFFFF"/>
        <w:spacing w:before="375" w:after="24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For example, let’s say that once an hour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application has a data analytics job that runs. As part of its work, it makes calls out to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services. However,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developers still want that application to authenticate and authorize itself before it can access the data in those services. This is where the client credential grant can be used. </w:t>
      </w:r>
      <w:hyperlink r:id="rId9" w:anchor="app02fig02" w:history="1">
        <w:r w:rsidRPr="005E0905">
          <w:rPr>
            <w:rFonts w:ascii="Times" w:eastAsia="Times New Roman" w:hAnsi="Times" w:cs="Times"/>
            <w:color w:val="070707"/>
            <w:sz w:val="28"/>
            <w:szCs w:val="28"/>
            <w:u w:val="single"/>
          </w:rPr>
          <w:t>Figure B.2</w:t>
        </w:r>
      </w:hyperlink>
      <w:r w:rsidRPr="005E0905">
        <w:rPr>
          <w:rFonts w:ascii="inherit" w:eastAsia="Times New Roman" w:hAnsi="inherit" w:cs="Times New Roman"/>
          <w:color w:val="333333"/>
          <w:sz w:val="28"/>
          <w:szCs w:val="28"/>
        </w:rPr>
        <w:t> shows this flow.</w:t>
      </w:r>
    </w:p>
    <w:p w:rsidR="005E0905" w:rsidRPr="005E0905" w:rsidRDefault="005E0905" w:rsidP="005E0905">
      <w:pPr>
        <w:spacing w:before="100" w:beforeAutospacing="1" w:after="100" w:afterAutospacing="1" w:line="240" w:lineRule="auto"/>
        <w:outlineLvl w:val="4"/>
        <w:rPr>
          <w:rFonts w:ascii="inherit" w:eastAsia="Times New Roman" w:hAnsi="inherit" w:cs="Times New Roman"/>
          <w:b/>
          <w:bCs/>
          <w:color w:val="404040"/>
          <w:sz w:val="23"/>
          <w:szCs w:val="23"/>
        </w:rPr>
      </w:pPr>
      <w:r w:rsidRPr="005E0905">
        <w:rPr>
          <w:rFonts w:ascii="inherit" w:eastAsia="Times New Roman" w:hAnsi="inherit" w:cs="Times New Roman"/>
          <w:b/>
          <w:bCs/>
          <w:color w:val="404040"/>
          <w:sz w:val="23"/>
          <w:szCs w:val="23"/>
        </w:rPr>
        <w:t>Figure B.2. The client credential grant is for “no-user-involved” application authentication and authorization.</w:t>
      </w:r>
    </w:p>
    <w:p w:rsidR="005E0905" w:rsidRPr="005E0905" w:rsidRDefault="005E0905" w:rsidP="005E0905">
      <w:pPr>
        <w:shd w:val="clear" w:color="auto" w:fill="FFFFFF"/>
        <w:spacing w:before="240" w:after="240" w:line="240" w:lineRule="auto"/>
        <w:rPr>
          <w:rFonts w:ascii="inherit" w:eastAsia="Times New Roman" w:hAnsi="inherit" w:cs="Times New Roman"/>
          <w:color w:val="333333"/>
          <w:sz w:val="28"/>
          <w:szCs w:val="28"/>
        </w:rPr>
      </w:pPr>
      <w:r w:rsidRPr="005E0905">
        <w:rPr>
          <w:rFonts w:ascii="inherit" w:eastAsia="Times New Roman" w:hAnsi="inherit" w:cs="Times New Roman"/>
          <w:noProof/>
          <w:color w:val="333333"/>
          <w:sz w:val="28"/>
          <w:szCs w:val="28"/>
        </w:rPr>
        <w:drawing>
          <wp:inline distT="0" distB="0" distL="0" distR="0">
            <wp:extent cx="5619750" cy="3181350"/>
            <wp:effectExtent l="0" t="0" r="0" b="0"/>
            <wp:docPr id="4" name="Picture 4" descr="https://www.safaribooksonline.com/library/view/spring-microservices-in/9781617293986/bfig02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faribooksonline.com/library/view/spring-microservices-in/9781617293986/bfig02_al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3181350"/>
                    </a:xfrm>
                    <a:prstGeom prst="rect">
                      <a:avLst/>
                    </a:prstGeom>
                    <a:noFill/>
                    <a:ln>
                      <a:noFill/>
                    </a:ln>
                  </pic:spPr>
                </pic:pic>
              </a:graphicData>
            </a:graphic>
          </wp:inline>
        </w:drawing>
      </w:r>
    </w:p>
    <w:p w:rsidR="005E0905" w:rsidRPr="005E0905" w:rsidRDefault="005E0905" w:rsidP="005E0905">
      <w:pPr>
        <w:numPr>
          <w:ilvl w:val="0"/>
          <w:numId w:val="6"/>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The resource owner registers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data analytics application with the OAuth2 service. The resource owner will provide the application name and receive back a secret key.</w:t>
      </w:r>
    </w:p>
    <w:p w:rsidR="005E0905" w:rsidRPr="005E0905" w:rsidRDefault="005E0905" w:rsidP="005E0905">
      <w:pPr>
        <w:numPr>
          <w:ilvl w:val="0"/>
          <w:numId w:val="6"/>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lastRenderedPageBreak/>
        <w:t xml:space="preserve">When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data analytics job runs, it will present its application name and secret key provided by the resource owner.</w:t>
      </w:r>
    </w:p>
    <w:p w:rsidR="005E0905" w:rsidRPr="005E0905" w:rsidRDefault="005E0905" w:rsidP="005E0905">
      <w:pPr>
        <w:numPr>
          <w:ilvl w:val="0"/>
          <w:numId w:val="6"/>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OAuth2 service will authenticate the application using the application name and the secret key provided and then return back an OAuth2 access token.</w:t>
      </w:r>
    </w:p>
    <w:p w:rsidR="005E0905" w:rsidRPr="005E0905" w:rsidRDefault="005E0905" w:rsidP="005E0905">
      <w:pPr>
        <w:numPr>
          <w:ilvl w:val="0"/>
          <w:numId w:val="6"/>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Every time the application calls one of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services, it will present the OAuth2 access token it received with the service call.</w:t>
      </w:r>
    </w:p>
    <w:p w:rsidR="005E0905" w:rsidRPr="005E0905" w:rsidRDefault="005E0905" w:rsidP="005E0905">
      <w:pPr>
        <w:spacing w:before="600" w:after="0" w:line="240" w:lineRule="auto"/>
        <w:outlineLvl w:val="2"/>
        <w:rPr>
          <w:rFonts w:ascii="inherit" w:eastAsia="Times New Roman" w:hAnsi="inherit" w:cs="Times New Roman"/>
          <w:b/>
          <w:bCs/>
          <w:caps/>
          <w:color w:val="404040"/>
          <w:spacing w:val="15"/>
          <w:sz w:val="32"/>
          <w:szCs w:val="32"/>
        </w:rPr>
      </w:pPr>
      <w:r w:rsidRPr="005E0905">
        <w:rPr>
          <w:rFonts w:ascii="inherit" w:eastAsia="Times New Roman" w:hAnsi="inherit" w:cs="Times New Roman"/>
          <w:b/>
          <w:bCs/>
          <w:caps/>
          <w:color w:val="404040"/>
          <w:spacing w:val="15"/>
          <w:sz w:val="32"/>
          <w:szCs w:val="32"/>
        </w:rPr>
        <w:t>B.3. AUTHORIZATION CODE GRANTS</w:t>
      </w:r>
    </w:p>
    <w:p w:rsidR="005E0905" w:rsidRPr="005E0905" w:rsidRDefault="005E0905" w:rsidP="005E0905">
      <w:pPr>
        <w:shd w:val="clear" w:color="auto" w:fill="FFFFFF"/>
        <w:spacing w:before="375" w:after="24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The authorization code grant is by far the most complicated of the OAuth2 grants, but it’s also the most common flow used because it allows different applications from different vendors to share data and services without having to expose a user’s credentials across multiple applications. It also enforces an extra layer of checking by not letting a calling application immediately get an OAuth2 access token, but rather a “pre-access” authorization code.</w:t>
      </w:r>
    </w:p>
    <w:p w:rsidR="005E0905" w:rsidRPr="005E0905" w:rsidRDefault="005E0905" w:rsidP="005E0905">
      <w:pPr>
        <w:shd w:val="clear" w:color="auto" w:fill="FFFFFF"/>
        <w:spacing w:before="375" w:after="24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The easy way to understand the authorization grant is through an example. Let’s say you have an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user who also uses Salesforce.com.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customer’s IT department has built a Salesforce application that needs data from an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service (the organization service). Let’s walk through </w:t>
      </w:r>
      <w:hyperlink r:id="rId11" w:anchor="app02fig03" w:history="1">
        <w:r w:rsidRPr="005E0905">
          <w:rPr>
            <w:rFonts w:ascii="Times" w:eastAsia="Times New Roman" w:hAnsi="Times" w:cs="Times"/>
            <w:color w:val="070707"/>
            <w:sz w:val="28"/>
            <w:szCs w:val="28"/>
            <w:u w:val="single"/>
          </w:rPr>
          <w:t>figure B.3</w:t>
        </w:r>
      </w:hyperlink>
      <w:r w:rsidRPr="005E0905">
        <w:rPr>
          <w:rFonts w:ascii="inherit" w:eastAsia="Times New Roman" w:hAnsi="inherit" w:cs="Times New Roman"/>
          <w:color w:val="333333"/>
          <w:sz w:val="28"/>
          <w:szCs w:val="28"/>
        </w:rPr>
        <w:t xml:space="preserve"> and see how the authorization code grant flow works to allow Salesforce to access data from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organization service, without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customer ever having to expose their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credentials to Salesforce.</w:t>
      </w:r>
    </w:p>
    <w:p w:rsidR="005E0905" w:rsidRPr="005E0905" w:rsidRDefault="005E0905" w:rsidP="005E0905">
      <w:pPr>
        <w:spacing w:before="100" w:beforeAutospacing="1" w:after="100" w:afterAutospacing="1" w:line="240" w:lineRule="auto"/>
        <w:outlineLvl w:val="4"/>
        <w:rPr>
          <w:rFonts w:ascii="inherit" w:eastAsia="Times New Roman" w:hAnsi="inherit" w:cs="Times New Roman"/>
          <w:b/>
          <w:bCs/>
          <w:color w:val="404040"/>
          <w:sz w:val="23"/>
          <w:szCs w:val="23"/>
        </w:rPr>
      </w:pPr>
      <w:r w:rsidRPr="005E0905">
        <w:rPr>
          <w:rFonts w:ascii="inherit" w:eastAsia="Times New Roman" w:hAnsi="inherit" w:cs="Times New Roman"/>
          <w:b/>
          <w:bCs/>
          <w:color w:val="404040"/>
          <w:sz w:val="23"/>
          <w:szCs w:val="23"/>
        </w:rPr>
        <w:t>Figure B.3. The authentication code grant allows applications to share data without exposing user credentials.</w:t>
      </w:r>
    </w:p>
    <w:p w:rsidR="005E0905" w:rsidRPr="005E0905" w:rsidRDefault="005E0905" w:rsidP="005E0905">
      <w:pPr>
        <w:shd w:val="clear" w:color="auto" w:fill="FFFFFF"/>
        <w:spacing w:before="240" w:after="240" w:line="240" w:lineRule="auto"/>
        <w:rPr>
          <w:rFonts w:ascii="inherit" w:eastAsia="Times New Roman" w:hAnsi="inherit" w:cs="Times New Roman"/>
          <w:color w:val="333333"/>
          <w:sz w:val="28"/>
          <w:szCs w:val="28"/>
        </w:rPr>
      </w:pPr>
      <w:r w:rsidRPr="005E0905">
        <w:rPr>
          <w:rFonts w:ascii="inherit" w:eastAsia="Times New Roman" w:hAnsi="inherit" w:cs="Times New Roman"/>
          <w:noProof/>
          <w:color w:val="333333"/>
          <w:sz w:val="28"/>
          <w:szCs w:val="28"/>
        </w:rPr>
        <w:lastRenderedPageBreak/>
        <w:drawing>
          <wp:inline distT="0" distB="0" distL="0" distR="0">
            <wp:extent cx="5619750" cy="3752850"/>
            <wp:effectExtent l="0" t="0" r="0" b="0"/>
            <wp:docPr id="3" name="Picture 3" descr="https://www.safaribooksonline.com/library/view/spring-microservices-in/9781617293986/bfig03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spring-microservices-in/9781617293986/bfig03_a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0" cy="3752850"/>
                    </a:xfrm>
                    <a:prstGeom prst="rect">
                      <a:avLst/>
                    </a:prstGeom>
                    <a:noFill/>
                    <a:ln>
                      <a:noFill/>
                    </a:ln>
                  </pic:spPr>
                </pic:pic>
              </a:graphicData>
            </a:graphic>
          </wp:inline>
        </w:drawing>
      </w:r>
    </w:p>
    <w:p w:rsidR="005E0905" w:rsidRPr="005E0905" w:rsidRDefault="005E0905" w:rsidP="005E0905">
      <w:pPr>
        <w:numPr>
          <w:ilvl w:val="0"/>
          <w:numId w:val="7"/>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user logs in to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and generates an application name and application secret key for their Salesforce application. As part of the registration process, they’ll also provide a callback URL back to their Salesforce-based application. This callback URL is a Salesforce URL that will be called after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OAuth2 server has authenticated the user’s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credentials.</w:t>
      </w:r>
    </w:p>
    <w:p w:rsidR="005E0905" w:rsidRPr="005E0905" w:rsidRDefault="005E0905" w:rsidP="005E0905">
      <w:pPr>
        <w:numPr>
          <w:ilvl w:val="0"/>
          <w:numId w:val="7"/>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The user configures their Salesforce application with the following information:</w:t>
      </w:r>
    </w:p>
    <w:p w:rsidR="005E0905" w:rsidRPr="005E0905" w:rsidRDefault="005E0905" w:rsidP="005E0905">
      <w:pPr>
        <w:numPr>
          <w:ilvl w:val="1"/>
          <w:numId w:val="8"/>
        </w:numPr>
        <w:shd w:val="clear" w:color="auto" w:fill="FFFFFF"/>
        <w:spacing w:before="100" w:beforeAutospacing="1" w:after="100" w:afterAutospacing="1" w:line="240" w:lineRule="auto"/>
        <w:ind w:left="1440" w:hanging="360"/>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Their application name they created for Salesforce</w:t>
      </w:r>
    </w:p>
    <w:p w:rsidR="005E0905" w:rsidRPr="005E0905" w:rsidRDefault="005E0905" w:rsidP="005E0905">
      <w:pPr>
        <w:numPr>
          <w:ilvl w:val="1"/>
          <w:numId w:val="8"/>
        </w:numPr>
        <w:shd w:val="clear" w:color="auto" w:fill="FFFFFF"/>
        <w:spacing w:before="100" w:beforeAutospacing="1" w:after="100" w:afterAutospacing="1" w:line="240" w:lineRule="auto"/>
        <w:ind w:left="1440" w:hanging="360"/>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The secret key they generated for Salesforce</w:t>
      </w:r>
    </w:p>
    <w:p w:rsidR="005E0905" w:rsidRPr="005E0905" w:rsidRDefault="005E0905" w:rsidP="005E0905">
      <w:pPr>
        <w:numPr>
          <w:ilvl w:val="1"/>
          <w:numId w:val="8"/>
        </w:numPr>
        <w:shd w:val="clear" w:color="auto" w:fill="FFFFFF"/>
        <w:spacing w:before="100" w:beforeAutospacing="1" w:after="100" w:afterAutospacing="1" w:line="240" w:lineRule="auto"/>
        <w:ind w:left="1440" w:hanging="360"/>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A URL that points to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OAuth2 login page</w:t>
      </w:r>
    </w:p>
    <w:p w:rsidR="005E0905" w:rsidRPr="005E0905" w:rsidRDefault="005E0905" w:rsidP="005E0905">
      <w:pPr>
        <w:numPr>
          <w:ilvl w:val="1"/>
          <w:numId w:val="8"/>
        </w:numPr>
        <w:shd w:val="clear" w:color="auto" w:fill="FFFFFF"/>
        <w:spacing w:before="100" w:beforeAutospacing="1" w:after="100" w:afterAutospacing="1" w:line="240" w:lineRule="auto"/>
        <w:ind w:left="1440" w:hanging="360"/>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Now when the user tries to use their Salesforce application and access their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data via the organization service, they’ll be redirected over to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login page via the URL described in the previous bullet point. The user will provide their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credentials. If they’ve provided valid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credentials,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OAuth2 server will generate an authorization code and redirect the user back to </w:t>
      </w:r>
      <w:proofErr w:type="spellStart"/>
      <w:r w:rsidRPr="005E0905">
        <w:rPr>
          <w:rFonts w:ascii="inherit" w:eastAsia="Times New Roman" w:hAnsi="inherit" w:cs="Times New Roman"/>
          <w:color w:val="333333"/>
          <w:sz w:val="28"/>
          <w:szCs w:val="28"/>
        </w:rPr>
        <w:t>SalesForce</w:t>
      </w:r>
      <w:proofErr w:type="spellEnd"/>
      <w:r w:rsidRPr="005E0905">
        <w:rPr>
          <w:rFonts w:ascii="inherit" w:eastAsia="Times New Roman" w:hAnsi="inherit" w:cs="Times New Roman"/>
          <w:color w:val="333333"/>
          <w:sz w:val="28"/>
          <w:szCs w:val="28"/>
        </w:rPr>
        <w:t xml:space="preserve"> via the URL provided in number 1. The authorization code will be sent as a query parameter on the callback URL.</w:t>
      </w:r>
    </w:p>
    <w:p w:rsidR="005E0905" w:rsidRPr="005E0905" w:rsidRDefault="005E0905" w:rsidP="005E0905">
      <w:pPr>
        <w:numPr>
          <w:ilvl w:val="0"/>
          <w:numId w:val="8"/>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The custom Salesforce application will persist this authorization code. Note: this authorization code isn’t an OAuth2 access token.</w:t>
      </w:r>
    </w:p>
    <w:p w:rsidR="005E0905" w:rsidRPr="005E0905" w:rsidRDefault="005E0905" w:rsidP="005E0905">
      <w:pPr>
        <w:numPr>
          <w:ilvl w:val="0"/>
          <w:numId w:val="8"/>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lastRenderedPageBreak/>
        <w:t xml:space="preserve">Once the authorization code has been stored, the custom Salesforce application can present the Salesforce application the secret key they generated during the registration process and the authorization code back to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OAuth2 server.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OAuth2 server will validate that the authorization code is valid and then return back an OAuth2 token to the custom Salesforce application. This authorization code is used every time the custom Salesforce needs to authenticate the user and get an OAuth2 access token.</w:t>
      </w:r>
    </w:p>
    <w:p w:rsidR="005E0905" w:rsidRPr="005E0905" w:rsidRDefault="005E0905" w:rsidP="005E0905">
      <w:pPr>
        <w:numPr>
          <w:ilvl w:val="0"/>
          <w:numId w:val="8"/>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The Salesforce application will call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organization service, passing an OAuth2 token in the header.</w:t>
      </w:r>
    </w:p>
    <w:p w:rsidR="005E0905" w:rsidRPr="005E0905" w:rsidRDefault="005E0905" w:rsidP="005E0905">
      <w:pPr>
        <w:numPr>
          <w:ilvl w:val="0"/>
          <w:numId w:val="8"/>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The organization service will validate the OAuth2 access token passed in to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service call with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OAuth2 service. If the token is valid, the organization service will process the user’s request.</w:t>
      </w:r>
    </w:p>
    <w:p w:rsidR="005E0905" w:rsidRPr="005E0905" w:rsidRDefault="005E0905" w:rsidP="005E0905">
      <w:pPr>
        <w:shd w:val="clear" w:color="auto" w:fill="FFFFFF"/>
        <w:spacing w:before="375" w:after="24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Wow! I need to come up for air. Application-to-application integration is convoluted. The key to note from this entire process is that even though the user is logged into Salesforce and they’re accessing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data, at no time were the user’s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credentials directly exposed to Salesforce. After the initial authorization code was generated and provided by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OAuth2 service, the user never had to provide their credentials back to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service.</w:t>
      </w:r>
    </w:p>
    <w:p w:rsidR="005E0905" w:rsidRPr="005E0905" w:rsidRDefault="005E0905" w:rsidP="005E0905">
      <w:pPr>
        <w:spacing w:before="600" w:after="0" w:line="240" w:lineRule="auto"/>
        <w:outlineLvl w:val="2"/>
        <w:rPr>
          <w:rFonts w:ascii="inherit" w:eastAsia="Times New Roman" w:hAnsi="inherit" w:cs="Times New Roman"/>
          <w:b/>
          <w:bCs/>
          <w:caps/>
          <w:color w:val="404040"/>
          <w:spacing w:val="15"/>
          <w:sz w:val="32"/>
          <w:szCs w:val="32"/>
        </w:rPr>
      </w:pPr>
      <w:r w:rsidRPr="005E0905">
        <w:rPr>
          <w:rFonts w:ascii="inherit" w:eastAsia="Times New Roman" w:hAnsi="inherit" w:cs="Times New Roman"/>
          <w:b/>
          <w:bCs/>
          <w:caps/>
          <w:color w:val="404040"/>
          <w:spacing w:val="15"/>
          <w:sz w:val="32"/>
          <w:szCs w:val="32"/>
        </w:rPr>
        <w:t>B.4. IMPLICIT GRANT</w:t>
      </w:r>
    </w:p>
    <w:p w:rsidR="005E0905" w:rsidRPr="005E0905" w:rsidRDefault="005E0905" w:rsidP="005E0905">
      <w:pPr>
        <w:shd w:val="clear" w:color="auto" w:fill="FFFFFF"/>
        <w:spacing w:before="375" w:after="24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The authorization grant is used when you’re running a web application through a traditional server-side web programming environment like Java or .NET. What happens if your client application is a pure JavaScript application or a mobile application that runs completely in a web browser and doesn’t rely on server-side calls to invoke third-party services?</w:t>
      </w:r>
    </w:p>
    <w:p w:rsidR="005E0905" w:rsidRPr="005E0905" w:rsidRDefault="005E0905" w:rsidP="005E0905">
      <w:pPr>
        <w:shd w:val="clear" w:color="auto" w:fill="FFFFFF"/>
        <w:spacing w:before="375" w:after="24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This is where the last grant type, the implicit grant, comes into play. </w:t>
      </w:r>
      <w:hyperlink r:id="rId13" w:anchor="app02fig04" w:history="1">
        <w:r w:rsidRPr="005E0905">
          <w:rPr>
            <w:rFonts w:ascii="Times" w:eastAsia="Times New Roman" w:hAnsi="Times" w:cs="Times"/>
            <w:color w:val="070707"/>
            <w:sz w:val="28"/>
            <w:szCs w:val="28"/>
            <w:u w:val="single"/>
          </w:rPr>
          <w:t>Figure B.4</w:t>
        </w:r>
      </w:hyperlink>
      <w:r w:rsidRPr="005E0905">
        <w:rPr>
          <w:rFonts w:ascii="inherit" w:eastAsia="Times New Roman" w:hAnsi="inherit" w:cs="Times New Roman"/>
          <w:color w:val="333333"/>
          <w:sz w:val="28"/>
          <w:szCs w:val="28"/>
        </w:rPr>
        <w:t> shows the general flow of what occurs in the implicit grant.</w:t>
      </w:r>
    </w:p>
    <w:p w:rsidR="005E0905" w:rsidRPr="005E0905" w:rsidRDefault="005E0905" w:rsidP="005E0905">
      <w:pPr>
        <w:spacing w:before="100" w:beforeAutospacing="1" w:after="100" w:afterAutospacing="1" w:line="240" w:lineRule="auto"/>
        <w:outlineLvl w:val="4"/>
        <w:rPr>
          <w:rFonts w:ascii="inherit" w:eastAsia="Times New Roman" w:hAnsi="inherit" w:cs="Times New Roman"/>
          <w:b/>
          <w:bCs/>
          <w:color w:val="404040"/>
          <w:sz w:val="23"/>
          <w:szCs w:val="23"/>
        </w:rPr>
      </w:pPr>
      <w:r w:rsidRPr="005E0905">
        <w:rPr>
          <w:rFonts w:ascii="inherit" w:eastAsia="Times New Roman" w:hAnsi="inherit" w:cs="Times New Roman"/>
          <w:b/>
          <w:bCs/>
          <w:color w:val="404040"/>
          <w:sz w:val="23"/>
          <w:szCs w:val="23"/>
        </w:rPr>
        <w:t>Figure B.4. The implicit grant is used in a browser-based Single-Page Application (SPA) JavaScript application.</w:t>
      </w:r>
    </w:p>
    <w:p w:rsidR="005E0905" w:rsidRPr="005E0905" w:rsidRDefault="005E0905" w:rsidP="005E0905">
      <w:pPr>
        <w:shd w:val="clear" w:color="auto" w:fill="FFFFFF"/>
        <w:spacing w:before="240" w:after="240" w:line="240" w:lineRule="auto"/>
        <w:rPr>
          <w:rFonts w:ascii="inherit" w:eastAsia="Times New Roman" w:hAnsi="inherit" w:cs="Times New Roman"/>
          <w:color w:val="333333"/>
          <w:sz w:val="28"/>
          <w:szCs w:val="28"/>
        </w:rPr>
      </w:pPr>
      <w:r w:rsidRPr="005E0905">
        <w:rPr>
          <w:rFonts w:ascii="inherit" w:eastAsia="Times New Roman" w:hAnsi="inherit" w:cs="Times New Roman"/>
          <w:noProof/>
          <w:color w:val="333333"/>
          <w:sz w:val="28"/>
          <w:szCs w:val="28"/>
        </w:rPr>
        <w:lastRenderedPageBreak/>
        <w:drawing>
          <wp:inline distT="0" distB="0" distL="0" distR="0">
            <wp:extent cx="5619750" cy="3295650"/>
            <wp:effectExtent l="0" t="0" r="0" b="0"/>
            <wp:docPr id="2" name="Picture 2" descr="https://www.safaribooksonline.com/library/view/spring-microservices-in/9781617293986/bfig04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faribooksonline.com/library/view/spring-microservices-in/9781617293986/bfig04_al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0" cy="3295650"/>
                    </a:xfrm>
                    <a:prstGeom prst="rect">
                      <a:avLst/>
                    </a:prstGeom>
                    <a:noFill/>
                    <a:ln>
                      <a:noFill/>
                    </a:ln>
                  </pic:spPr>
                </pic:pic>
              </a:graphicData>
            </a:graphic>
          </wp:inline>
        </w:drawing>
      </w:r>
    </w:p>
    <w:p w:rsidR="005E0905" w:rsidRPr="005E0905" w:rsidRDefault="005E0905" w:rsidP="005E0905">
      <w:pPr>
        <w:shd w:val="clear" w:color="auto" w:fill="FFFFFF"/>
        <w:spacing w:before="375" w:after="24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With an implicit grant, you’re usually working with a pure JavaScript application running completely inside of the browser. In the other flows, the client is communicating with an application server that’s carrying out the user’s requests and the application server is interacting with any downstream services. With an implicit grant type, all the service interaction happens directly from the user’s client (usually a web browser). In </w:t>
      </w:r>
      <w:hyperlink r:id="rId15" w:anchor="app02fig04" w:history="1">
        <w:r w:rsidRPr="005E0905">
          <w:rPr>
            <w:rFonts w:ascii="Times" w:eastAsia="Times New Roman" w:hAnsi="Times" w:cs="Times"/>
            <w:color w:val="070707"/>
            <w:sz w:val="28"/>
            <w:szCs w:val="28"/>
            <w:u w:val="single"/>
          </w:rPr>
          <w:t>figure B.4</w:t>
        </w:r>
      </w:hyperlink>
      <w:r w:rsidRPr="005E0905">
        <w:rPr>
          <w:rFonts w:ascii="inherit" w:eastAsia="Times New Roman" w:hAnsi="inherit" w:cs="Times New Roman"/>
          <w:color w:val="333333"/>
          <w:sz w:val="28"/>
          <w:szCs w:val="28"/>
        </w:rPr>
        <w:t>, the following activities are taking place:</w:t>
      </w:r>
    </w:p>
    <w:p w:rsidR="005E0905" w:rsidRPr="005E0905" w:rsidRDefault="005E0905" w:rsidP="005E0905">
      <w:pPr>
        <w:numPr>
          <w:ilvl w:val="0"/>
          <w:numId w:val="9"/>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The owner of the JavaScript application has registered the application with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OAuth2 server. They’ve provided an application name and also a callback URL that will be redirected with the OAuth2 access token for the user.</w:t>
      </w:r>
    </w:p>
    <w:p w:rsidR="005E0905" w:rsidRPr="005E0905" w:rsidRDefault="005E0905" w:rsidP="005E0905">
      <w:pPr>
        <w:numPr>
          <w:ilvl w:val="0"/>
          <w:numId w:val="9"/>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The JavaScript application will call to the OAuth2 service. The JavaScript application must present a pre-registered application name. The OAuth2 server will force the user to authenticate.</w:t>
      </w:r>
    </w:p>
    <w:p w:rsidR="005E0905" w:rsidRPr="005E0905" w:rsidRDefault="005E0905" w:rsidP="005E0905">
      <w:pPr>
        <w:numPr>
          <w:ilvl w:val="0"/>
          <w:numId w:val="9"/>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If the user successfully authenticates,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OAuth2 service won’t return a token, but instead redirect the user back to a page the owner of the JavaScript application registered in step one. In the URL being redirected back to, the OAuth2 access token will be passed as a query parameter by the OAuth2 authentication service.</w:t>
      </w:r>
    </w:p>
    <w:p w:rsidR="005E0905" w:rsidRPr="005E0905" w:rsidRDefault="005E0905" w:rsidP="005E0905">
      <w:pPr>
        <w:numPr>
          <w:ilvl w:val="0"/>
          <w:numId w:val="9"/>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The application will take the incoming request and run a JavaScript script that will parse the OAuth2 access token and store it (usually as a cookie).</w:t>
      </w:r>
    </w:p>
    <w:p w:rsidR="005E0905" w:rsidRPr="005E0905" w:rsidRDefault="005E0905" w:rsidP="005E0905">
      <w:pPr>
        <w:numPr>
          <w:ilvl w:val="0"/>
          <w:numId w:val="9"/>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lastRenderedPageBreak/>
        <w:t>Every time a protected resource is called, the OAuth2 access token is presented to the calling service.</w:t>
      </w:r>
    </w:p>
    <w:p w:rsidR="005E0905" w:rsidRPr="005E0905" w:rsidRDefault="005E0905" w:rsidP="005E0905">
      <w:pPr>
        <w:numPr>
          <w:ilvl w:val="0"/>
          <w:numId w:val="9"/>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The calling service will validate the OAuth2 token and check that the user is authorized to do the activity they’re attempting to do.</w:t>
      </w:r>
    </w:p>
    <w:p w:rsidR="005E0905" w:rsidRPr="005E0905" w:rsidRDefault="005E0905" w:rsidP="005E0905">
      <w:pPr>
        <w:shd w:val="clear" w:color="auto" w:fill="FFFFFF"/>
        <w:spacing w:before="375" w:after="24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Keep several things in mind regarding the OAuth2 implicit grant:</w:t>
      </w:r>
    </w:p>
    <w:p w:rsidR="005E0905" w:rsidRPr="005E0905" w:rsidRDefault="005E0905" w:rsidP="005E0905">
      <w:pPr>
        <w:numPr>
          <w:ilvl w:val="0"/>
          <w:numId w:val="10"/>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The implicit grant is the only grant type where the OAuth2 access token is directly exposed to a public client (web browser). In the authorization grant, the client application gets an authorization code returned back to the application server hosting the application. With an authorization code grant, the user is granted an OAuth2 access by presenting the authorization code. The returned OAuth2 token is never directly exposed to the user’s browser. In the client credentials grant, the grant occurs between two server-based applications. In the password grant, both the application making the request for a service and the services are trusted and are owned by the same organization.</w:t>
      </w:r>
    </w:p>
    <w:p w:rsidR="005E0905" w:rsidRPr="005E0905" w:rsidRDefault="005E0905" w:rsidP="005E0905">
      <w:pPr>
        <w:numPr>
          <w:ilvl w:val="0"/>
          <w:numId w:val="10"/>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OAuth2 tokens generated by the implicit grant are more vulnerable to attack and misuse because the tokens are made available to the browser. Any malicious JavaScript running in the browser can get access to the OAuth2 access token and call the services you retrieved the OAuth2 token for on your behalf and essentially impersonate you.</w:t>
      </w:r>
    </w:p>
    <w:p w:rsidR="005E0905" w:rsidRPr="005E0905" w:rsidRDefault="005E0905" w:rsidP="005E0905">
      <w:pPr>
        <w:numPr>
          <w:ilvl w:val="0"/>
          <w:numId w:val="10"/>
        </w:num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The implicit grant type OAuth2 tokens should be short-lived (1-2 hours). Because the OAuth2 access token is stored in the browser, the OAuth2 spec (and Spring Cloud security) doesn’t support the concept of a refresh token in which a token can be automatically renewed.</w:t>
      </w:r>
    </w:p>
    <w:p w:rsidR="005E0905" w:rsidRPr="005E0905" w:rsidRDefault="005E0905" w:rsidP="005E0905">
      <w:pPr>
        <w:spacing w:before="600" w:after="0" w:line="240" w:lineRule="auto"/>
        <w:outlineLvl w:val="2"/>
        <w:rPr>
          <w:rFonts w:ascii="inherit" w:eastAsia="Times New Roman" w:hAnsi="inherit" w:cs="Times New Roman"/>
          <w:b/>
          <w:bCs/>
          <w:caps/>
          <w:color w:val="404040"/>
          <w:spacing w:val="15"/>
          <w:sz w:val="32"/>
          <w:szCs w:val="32"/>
        </w:rPr>
      </w:pPr>
      <w:r w:rsidRPr="005E0905">
        <w:rPr>
          <w:rFonts w:ascii="inherit" w:eastAsia="Times New Roman" w:hAnsi="inherit" w:cs="Times New Roman"/>
          <w:b/>
          <w:bCs/>
          <w:caps/>
          <w:color w:val="404040"/>
          <w:spacing w:val="15"/>
          <w:sz w:val="32"/>
          <w:szCs w:val="32"/>
        </w:rPr>
        <w:t>B.5. HOW TOKENS ARE REFRESHED</w:t>
      </w:r>
    </w:p>
    <w:p w:rsidR="005E0905" w:rsidRPr="005E0905" w:rsidRDefault="005E0905" w:rsidP="005E0905">
      <w:pPr>
        <w:shd w:val="clear" w:color="auto" w:fill="FFFFFF"/>
        <w:spacing w:before="375" w:after="24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When an OAuth2 access token is issued, it has a limited amount of time that it’s valid and will eventually expire. When the token expires, the calling application (and user) will need to re-authenticate with the OAuth2 service. However, in most of the Oauth2 grant flows, the OAuth2 server will issue both an access token and a refresh token. A client can present the refresh token to the OAuth2 authentication service and the service will validate the refresh token and then issue a new OAuth2 access token. Let’s look at </w:t>
      </w:r>
      <w:hyperlink r:id="rId16" w:anchor="app02fig05" w:history="1">
        <w:r w:rsidRPr="005E0905">
          <w:rPr>
            <w:rFonts w:ascii="Times" w:eastAsia="Times New Roman" w:hAnsi="Times" w:cs="Times"/>
            <w:color w:val="070707"/>
            <w:sz w:val="28"/>
            <w:szCs w:val="28"/>
            <w:u w:val="single"/>
          </w:rPr>
          <w:t>figure B.5</w:t>
        </w:r>
      </w:hyperlink>
      <w:r w:rsidRPr="005E0905">
        <w:rPr>
          <w:rFonts w:ascii="inherit" w:eastAsia="Times New Roman" w:hAnsi="inherit" w:cs="Times New Roman"/>
          <w:color w:val="333333"/>
          <w:sz w:val="28"/>
          <w:szCs w:val="28"/>
        </w:rPr>
        <w:t> and walk through the refresh token flow:</w:t>
      </w:r>
    </w:p>
    <w:p w:rsidR="005E0905" w:rsidRPr="005E0905" w:rsidRDefault="005E0905" w:rsidP="005E0905">
      <w:pPr>
        <w:numPr>
          <w:ilvl w:val="0"/>
          <w:numId w:val="11"/>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lastRenderedPageBreak/>
        <w:t xml:space="preserve">The user has logged into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and is already authenticated with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OAuth2 service. The user is happily working, but unfortunately their token has expired.</w:t>
      </w:r>
    </w:p>
    <w:p w:rsidR="005E0905" w:rsidRPr="005E0905" w:rsidRDefault="005E0905" w:rsidP="005E0905">
      <w:pPr>
        <w:numPr>
          <w:ilvl w:val="0"/>
          <w:numId w:val="11"/>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The next time the user tries to call a service (say the organization service),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application will pass the expired token to the organization service.</w:t>
      </w:r>
    </w:p>
    <w:p w:rsidR="005E0905" w:rsidRPr="005E0905" w:rsidRDefault="005E0905" w:rsidP="005E0905">
      <w:pPr>
        <w:numPr>
          <w:ilvl w:val="0"/>
          <w:numId w:val="11"/>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The organization service will try to validate the token with the OAuth2 service, which return an HTTP status code 401 (unauthorized) and a JSON payload indicating that the token is no longer valid. The organization service will return an HTTP 401 status code back to the calling service.</w:t>
      </w:r>
    </w:p>
    <w:p w:rsidR="005E0905" w:rsidRPr="005E0905" w:rsidRDefault="005E0905" w:rsidP="005E0905">
      <w:pPr>
        <w:numPr>
          <w:ilvl w:val="0"/>
          <w:numId w:val="11"/>
        </w:numPr>
        <w:shd w:val="clear" w:color="auto" w:fill="FFFFFF"/>
        <w:spacing w:after="0" w:line="240" w:lineRule="auto"/>
        <w:rPr>
          <w:rFonts w:ascii="inherit" w:eastAsia="Times New Roman" w:hAnsi="inherit" w:cs="Times New Roman"/>
          <w:color w:val="333333"/>
          <w:sz w:val="28"/>
          <w:szCs w:val="28"/>
        </w:rPr>
      </w:pPr>
      <w:r w:rsidRPr="005E0905">
        <w:rPr>
          <w:rFonts w:ascii="inherit" w:eastAsia="Times New Roman" w:hAnsi="inherit" w:cs="Times New Roman"/>
          <w:color w:val="333333"/>
          <w:sz w:val="28"/>
          <w:szCs w:val="28"/>
        </w:rPr>
        <w:t xml:space="preserve">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application gets the 401 HTTP status code and the JSON payload indicating the reason the call failed back from the organization service. The </w:t>
      </w:r>
      <w:proofErr w:type="spellStart"/>
      <w:r w:rsidRPr="005E0905">
        <w:rPr>
          <w:rFonts w:ascii="inherit" w:eastAsia="Times New Roman" w:hAnsi="inherit" w:cs="Times New Roman"/>
          <w:color w:val="333333"/>
          <w:sz w:val="28"/>
          <w:szCs w:val="28"/>
        </w:rPr>
        <w:t>EagleEye</w:t>
      </w:r>
      <w:proofErr w:type="spellEnd"/>
      <w:r w:rsidRPr="005E0905">
        <w:rPr>
          <w:rFonts w:ascii="inherit" w:eastAsia="Times New Roman" w:hAnsi="inherit" w:cs="Times New Roman"/>
          <w:color w:val="333333"/>
          <w:sz w:val="28"/>
          <w:szCs w:val="28"/>
        </w:rPr>
        <w:t xml:space="preserve"> application will then call the OAuth2 authentication service with the refresh token. The OAuth2 authentication service will validate the refresh token and then send back a new access token.</w:t>
      </w:r>
    </w:p>
    <w:p w:rsidR="005E0905" w:rsidRPr="005E0905" w:rsidRDefault="005E0905" w:rsidP="005E0905">
      <w:pPr>
        <w:spacing w:before="100" w:beforeAutospacing="1" w:after="100" w:afterAutospacing="1" w:line="240" w:lineRule="auto"/>
        <w:outlineLvl w:val="4"/>
        <w:rPr>
          <w:rFonts w:ascii="inherit" w:eastAsia="Times New Roman" w:hAnsi="inherit" w:cs="Times New Roman"/>
          <w:b/>
          <w:bCs/>
          <w:color w:val="404040"/>
          <w:sz w:val="23"/>
          <w:szCs w:val="23"/>
        </w:rPr>
      </w:pPr>
      <w:r w:rsidRPr="005E0905">
        <w:rPr>
          <w:rFonts w:ascii="inherit" w:eastAsia="Times New Roman" w:hAnsi="inherit" w:cs="Times New Roman"/>
          <w:b/>
          <w:bCs/>
          <w:color w:val="404040"/>
          <w:sz w:val="23"/>
          <w:szCs w:val="23"/>
        </w:rPr>
        <w:t>Figure B.5. The refresh token flow allows an application to get a new access token without forcing the user to re-authenticate.</w:t>
      </w:r>
    </w:p>
    <w:p w:rsidR="005E0905" w:rsidRPr="005E0905" w:rsidRDefault="005E0905" w:rsidP="005E0905">
      <w:pPr>
        <w:shd w:val="clear" w:color="auto" w:fill="FFFFFF"/>
        <w:spacing w:before="240" w:after="240" w:line="240" w:lineRule="auto"/>
        <w:rPr>
          <w:rFonts w:ascii="inherit" w:eastAsia="Times New Roman" w:hAnsi="inherit" w:cs="Times New Roman"/>
          <w:color w:val="333333"/>
          <w:sz w:val="28"/>
          <w:szCs w:val="28"/>
        </w:rPr>
      </w:pPr>
      <w:r w:rsidRPr="005E0905">
        <w:rPr>
          <w:rFonts w:ascii="inherit" w:eastAsia="Times New Roman" w:hAnsi="inherit" w:cs="Times New Roman"/>
          <w:noProof/>
          <w:color w:val="333333"/>
          <w:sz w:val="28"/>
          <w:szCs w:val="28"/>
        </w:rPr>
        <w:drawing>
          <wp:inline distT="0" distB="0" distL="0" distR="0">
            <wp:extent cx="5619750" cy="3476625"/>
            <wp:effectExtent l="0" t="0" r="0" b="9525"/>
            <wp:docPr id="1" name="Picture 1" descr="https://www.safaribooksonline.com/library/view/spring-microservices-in/9781617293986/bfig05_a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faribooksonline.com/library/view/spring-microservices-in/9781617293986/bfig05_al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3476625"/>
                    </a:xfrm>
                    <a:prstGeom prst="rect">
                      <a:avLst/>
                    </a:prstGeom>
                    <a:noFill/>
                    <a:ln>
                      <a:noFill/>
                    </a:ln>
                  </pic:spPr>
                </pic:pic>
              </a:graphicData>
            </a:graphic>
          </wp:inline>
        </w:drawing>
      </w:r>
    </w:p>
    <w:sectPr w:rsidR="005E0905" w:rsidRPr="005E0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F5223"/>
    <w:multiLevelType w:val="multilevel"/>
    <w:tmpl w:val="9264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C56AA1"/>
    <w:multiLevelType w:val="multilevel"/>
    <w:tmpl w:val="CE3A4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844C4E"/>
    <w:multiLevelType w:val="multilevel"/>
    <w:tmpl w:val="4080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BB6E70"/>
    <w:multiLevelType w:val="multilevel"/>
    <w:tmpl w:val="330C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29248C"/>
    <w:multiLevelType w:val="multilevel"/>
    <w:tmpl w:val="B5FE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C56FE5"/>
    <w:multiLevelType w:val="multilevel"/>
    <w:tmpl w:val="CB681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AD1921"/>
    <w:multiLevelType w:val="multilevel"/>
    <w:tmpl w:val="840AE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FB7C38"/>
    <w:multiLevelType w:val="multilevel"/>
    <w:tmpl w:val="8568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9E5132"/>
    <w:multiLevelType w:val="multilevel"/>
    <w:tmpl w:val="7AA0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506A4A"/>
    <w:multiLevelType w:val="multilevel"/>
    <w:tmpl w:val="DEF05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0B7D0C"/>
    <w:multiLevelType w:val="multilevel"/>
    <w:tmpl w:val="1C02E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4"/>
  </w:num>
  <w:num w:numId="4">
    <w:abstractNumId w:val="2"/>
  </w:num>
  <w:num w:numId="5">
    <w:abstractNumId w:val="3"/>
  </w:num>
  <w:num w:numId="6">
    <w:abstractNumId w:val="7"/>
  </w:num>
  <w:num w:numId="7">
    <w:abstractNumId w:val="6"/>
  </w:num>
  <w:num w:numId="8">
    <w:abstractNumId w:val="6"/>
    <w:lvlOverride w:ilvl="1">
      <w:lvl w:ilvl="1">
        <w:numFmt w:val="decimal"/>
        <w:lvlText w:val="%2."/>
        <w:lvlJc w:val="left"/>
      </w:lvl>
    </w:lvlOverride>
  </w:num>
  <w:num w:numId="9">
    <w:abstractNumId w:val="9"/>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905"/>
    <w:rsid w:val="00331994"/>
    <w:rsid w:val="005E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7ADD3-9D09-4015-98A4-2E10C6BA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09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09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09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5E09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9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09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090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5E090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E0905"/>
    <w:rPr>
      <w:color w:val="0000FF"/>
      <w:u w:val="single"/>
    </w:rPr>
  </w:style>
  <w:style w:type="character" w:customStyle="1" w:styleId="sbo-title">
    <w:name w:val="sbo-title"/>
    <w:basedOn w:val="DefaultParagraphFont"/>
    <w:rsid w:val="005E0905"/>
  </w:style>
  <w:style w:type="character" w:customStyle="1" w:styleId="icon">
    <w:name w:val="icon"/>
    <w:basedOn w:val="DefaultParagraphFont"/>
    <w:rsid w:val="005E0905"/>
  </w:style>
  <w:style w:type="paragraph" w:styleId="z-TopofForm">
    <w:name w:val="HTML Top of Form"/>
    <w:basedOn w:val="Normal"/>
    <w:next w:val="Normal"/>
    <w:link w:val="z-TopofFormChar"/>
    <w:hidden/>
    <w:uiPriority w:val="99"/>
    <w:semiHidden/>
    <w:unhideWhenUsed/>
    <w:rsid w:val="005E090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090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E090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E0905"/>
    <w:rPr>
      <w:rFonts w:ascii="Arial" w:eastAsia="Times New Roman" w:hAnsi="Arial" w:cs="Arial"/>
      <w:vanish/>
      <w:sz w:val="16"/>
      <w:szCs w:val="16"/>
    </w:rPr>
  </w:style>
  <w:style w:type="character" w:customStyle="1" w:styleId="pagination-label">
    <w:name w:val="pagination-label"/>
    <w:basedOn w:val="DefaultParagraphFont"/>
    <w:rsid w:val="005E0905"/>
  </w:style>
  <w:style w:type="character" w:customStyle="1" w:styleId="visuallyhidden">
    <w:name w:val="visuallyhidden"/>
    <w:basedOn w:val="DefaultParagraphFont"/>
    <w:rsid w:val="005E0905"/>
  </w:style>
  <w:style w:type="paragraph" w:customStyle="1" w:styleId="noind">
    <w:name w:val="noind"/>
    <w:basedOn w:val="Normal"/>
    <w:rsid w:val="005E0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close">
    <w:name w:val="noindclose"/>
    <w:basedOn w:val="Normal"/>
    <w:rsid w:val="005E09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1">
    <w:name w:val="center1"/>
    <w:basedOn w:val="Normal"/>
    <w:rsid w:val="005E090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09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5E0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754534">
      <w:bodyDiv w:val="1"/>
      <w:marLeft w:val="0"/>
      <w:marRight w:val="0"/>
      <w:marTop w:val="0"/>
      <w:marBottom w:val="0"/>
      <w:divBdr>
        <w:top w:val="none" w:sz="0" w:space="0" w:color="auto"/>
        <w:left w:val="none" w:sz="0" w:space="0" w:color="auto"/>
        <w:bottom w:val="none" w:sz="0" w:space="0" w:color="auto"/>
        <w:right w:val="none" w:sz="0" w:space="0" w:color="auto"/>
      </w:divBdr>
      <w:divsChild>
        <w:div w:id="69930579">
          <w:marLeft w:val="0"/>
          <w:marRight w:val="0"/>
          <w:marTop w:val="0"/>
          <w:marBottom w:val="0"/>
          <w:divBdr>
            <w:top w:val="none" w:sz="0" w:space="0" w:color="auto"/>
            <w:left w:val="none" w:sz="0" w:space="0" w:color="auto"/>
            <w:bottom w:val="none" w:sz="0" w:space="0" w:color="auto"/>
            <w:right w:val="none" w:sz="0" w:space="0" w:color="auto"/>
          </w:divBdr>
          <w:divsChild>
            <w:div w:id="1781493241">
              <w:marLeft w:val="0"/>
              <w:marRight w:val="0"/>
              <w:marTop w:val="0"/>
              <w:marBottom w:val="0"/>
              <w:divBdr>
                <w:top w:val="none" w:sz="0" w:space="0" w:color="auto"/>
                <w:left w:val="none" w:sz="0" w:space="0" w:color="auto"/>
                <w:bottom w:val="none" w:sz="0" w:space="0" w:color="auto"/>
                <w:right w:val="none" w:sz="0" w:space="0" w:color="auto"/>
              </w:divBdr>
            </w:div>
          </w:divsChild>
        </w:div>
        <w:div w:id="827288744">
          <w:marLeft w:val="0"/>
          <w:marRight w:val="0"/>
          <w:marTop w:val="0"/>
          <w:marBottom w:val="0"/>
          <w:divBdr>
            <w:top w:val="none" w:sz="0" w:space="0" w:color="auto"/>
            <w:left w:val="none" w:sz="0" w:space="0" w:color="auto"/>
            <w:bottom w:val="none" w:sz="0" w:space="0" w:color="auto"/>
            <w:right w:val="none" w:sz="0" w:space="0" w:color="auto"/>
          </w:divBdr>
          <w:divsChild>
            <w:div w:id="633752075">
              <w:marLeft w:val="0"/>
              <w:marRight w:val="0"/>
              <w:marTop w:val="0"/>
              <w:marBottom w:val="0"/>
              <w:divBdr>
                <w:top w:val="none" w:sz="0" w:space="0" w:color="auto"/>
                <w:left w:val="none" w:sz="0" w:space="0" w:color="auto"/>
                <w:bottom w:val="none" w:sz="0" w:space="0" w:color="auto"/>
                <w:right w:val="none" w:sz="0" w:space="0" w:color="auto"/>
              </w:divBdr>
              <w:divsChild>
                <w:div w:id="553470437">
                  <w:marLeft w:val="4654"/>
                  <w:marRight w:val="0"/>
                  <w:marTop w:val="0"/>
                  <w:marBottom w:val="0"/>
                  <w:divBdr>
                    <w:top w:val="none" w:sz="0" w:space="0" w:color="auto"/>
                    <w:left w:val="single" w:sz="6" w:space="0" w:color="DDDDDD"/>
                    <w:bottom w:val="single" w:sz="6" w:space="0" w:color="DDDDDD"/>
                    <w:right w:val="single" w:sz="6" w:space="0" w:color="DDDDDD"/>
                  </w:divBdr>
                  <w:divsChild>
                    <w:div w:id="1523856674">
                      <w:marLeft w:val="-15"/>
                      <w:marRight w:val="-15"/>
                      <w:marTop w:val="0"/>
                      <w:marBottom w:val="0"/>
                      <w:divBdr>
                        <w:top w:val="none" w:sz="0" w:space="0" w:color="auto"/>
                        <w:left w:val="none" w:sz="0" w:space="0" w:color="auto"/>
                        <w:bottom w:val="none" w:sz="0" w:space="0" w:color="auto"/>
                        <w:right w:val="none" w:sz="0" w:space="0" w:color="auto"/>
                      </w:divBdr>
                    </w:div>
                  </w:divsChild>
                </w:div>
                <w:div w:id="1635327396">
                  <w:marLeft w:val="0"/>
                  <w:marRight w:val="0"/>
                  <w:marTop w:val="0"/>
                  <w:marBottom w:val="0"/>
                  <w:divBdr>
                    <w:top w:val="none" w:sz="0" w:space="0" w:color="auto"/>
                    <w:left w:val="none" w:sz="0" w:space="0" w:color="auto"/>
                    <w:bottom w:val="none" w:sz="0" w:space="0" w:color="auto"/>
                    <w:right w:val="none" w:sz="0" w:space="0" w:color="auto"/>
                  </w:divBdr>
                  <w:divsChild>
                    <w:div w:id="1463577707">
                      <w:marLeft w:val="0"/>
                      <w:marRight w:val="0"/>
                      <w:marTop w:val="0"/>
                      <w:marBottom w:val="0"/>
                      <w:divBdr>
                        <w:top w:val="none" w:sz="0" w:space="0" w:color="auto"/>
                        <w:left w:val="none" w:sz="0" w:space="0" w:color="auto"/>
                        <w:bottom w:val="none" w:sz="0" w:space="0" w:color="auto"/>
                        <w:right w:val="none" w:sz="0" w:space="0" w:color="auto"/>
                      </w:divBdr>
                    </w:div>
                  </w:divsChild>
                </w:div>
                <w:div w:id="1644891769">
                  <w:marLeft w:val="0"/>
                  <w:marRight w:val="0"/>
                  <w:marTop w:val="0"/>
                  <w:marBottom w:val="0"/>
                  <w:divBdr>
                    <w:top w:val="none" w:sz="0" w:space="0" w:color="auto"/>
                    <w:left w:val="none" w:sz="0" w:space="0" w:color="auto"/>
                    <w:bottom w:val="none" w:sz="0" w:space="0" w:color="auto"/>
                    <w:right w:val="none" w:sz="0" w:space="0" w:color="auto"/>
                  </w:divBdr>
                  <w:divsChild>
                    <w:div w:id="1276594794">
                      <w:marLeft w:val="0"/>
                      <w:marRight w:val="0"/>
                      <w:marTop w:val="0"/>
                      <w:marBottom w:val="0"/>
                      <w:divBdr>
                        <w:top w:val="none" w:sz="0" w:space="0" w:color="auto"/>
                        <w:left w:val="none" w:sz="0" w:space="0" w:color="auto"/>
                        <w:bottom w:val="none" w:sz="0" w:space="0" w:color="auto"/>
                        <w:right w:val="none" w:sz="0" w:space="0" w:color="auto"/>
                      </w:divBdr>
                    </w:div>
                  </w:divsChild>
                </w:div>
                <w:div w:id="1760831428">
                  <w:marLeft w:val="0"/>
                  <w:marRight w:val="0"/>
                  <w:marTop w:val="0"/>
                  <w:marBottom w:val="0"/>
                  <w:divBdr>
                    <w:top w:val="single" w:sz="2" w:space="0" w:color="DDDDDD"/>
                    <w:left w:val="single" w:sz="2" w:space="0" w:color="DDDDDD"/>
                    <w:bottom w:val="single" w:sz="2" w:space="0" w:color="DDDDDD"/>
                    <w:right w:val="single" w:sz="2" w:space="0" w:color="DDDDDD"/>
                  </w:divBdr>
                  <w:divsChild>
                    <w:div w:id="7123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1936">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spring-microservices-in/9781617293986/kindle_split_021.html" TargetMode="External"/><Relationship Id="rId13" Type="http://schemas.openxmlformats.org/officeDocument/2006/relationships/hyperlink" Target="https://www.safaribooksonline.com/library/view/spring-microservices-in/9781617293986/kindle_split_021.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www.safaribooksonline.com/library/view/spring-microservices-in/9781617293986/kindle_split_021.html" TargetMode="External"/><Relationship Id="rId1" Type="http://schemas.openxmlformats.org/officeDocument/2006/relationships/numbering" Target="numbering.xml"/><Relationship Id="rId6" Type="http://schemas.openxmlformats.org/officeDocument/2006/relationships/hyperlink" Target="https://www.safaribooksonline.com/library/view/spring-microservices-in/9781617293986/kindle_split_021.html" TargetMode="External"/><Relationship Id="rId11" Type="http://schemas.openxmlformats.org/officeDocument/2006/relationships/hyperlink" Target="https://www.safaribooksonline.com/library/view/spring-microservices-in/9781617293986/kindle_split_021.html" TargetMode="External"/><Relationship Id="rId5" Type="http://schemas.openxmlformats.org/officeDocument/2006/relationships/hyperlink" Target="https://www.safaribooksonline.com/library/view/spring-microservices-in/9781617293986/kindle_split_016.html" TargetMode="External"/><Relationship Id="rId15" Type="http://schemas.openxmlformats.org/officeDocument/2006/relationships/hyperlink" Target="https://www.safaribooksonline.com/library/view/spring-microservices-in/9781617293986/kindle_split_021.html"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afaribooksonline.com/library/view/spring-microservices-in/9781617293986/kindle_split_021.htm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2426</Words>
  <Characters>13833</Characters>
  <Application>Microsoft Office Word</Application>
  <DocSecurity>0</DocSecurity>
  <Lines>115</Lines>
  <Paragraphs>32</Paragraphs>
  <ScaleCrop>false</ScaleCrop>
  <Company/>
  <LinksUpToDate>false</LinksUpToDate>
  <CharactersWithSpaces>16227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koritala</dc:creator>
  <cp:keywords/>
  <dc:description/>
  <cp:lastModifiedBy>ashok koritala</cp:lastModifiedBy>
  <cp:revision>1</cp:revision>
  <dcterms:created xsi:type="dcterms:W3CDTF">2017-09-27T11:19:00Z</dcterms:created>
  <dcterms:modified xsi:type="dcterms:W3CDTF">2017-09-27T11:19:00Z</dcterms:modified>
</cp:coreProperties>
</file>