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Ind w:w="108" w:type="dxa"/>
        <w:tblLook w:val="04A0" w:firstRow="1" w:lastRow="0" w:firstColumn="1" w:lastColumn="0" w:noHBand="0" w:noVBand="1"/>
      </w:tblPr>
      <w:tblGrid>
        <w:gridCol w:w="1779"/>
        <w:gridCol w:w="7581"/>
      </w:tblGrid>
      <w:tr w:rsidR="00DC0E28" w:rsidTr="00DC0E28">
        <w:tc>
          <w:tcPr>
            <w:tcW w:w="1779" w:type="dxa"/>
          </w:tcPr>
          <w:p w:rsidR="00DC0E28" w:rsidRDefault="00DC0E28">
            <w:pPr>
              <w:rPr>
                <w:b/>
              </w:rPr>
            </w:pPr>
            <w:r>
              <w:rPr>
                <w:b/>
              </w:rPr>
              <w:t>File Name:</w:t>
            </w:r>
          </w:p>
        </w:tc>
        <w:tc>
          <w:tcPr>
            <w:tcW w:w="7581" w:type="dxa"/>
          </w:tcPr>
          <w:p w:rsidR="00DC0E28" w:rsidRDefault="00DC0E28">
            <w:pPr>
              <w:rPr>
                <w:b/>
              </w:rPr>
            </w:pPr>
          </w:p>
        </w:tc>
      </w:tr>
      <w:tr w:rsidR="00DC0E28" w:rsidTr="00DC0E28">
        <w:tc>
          <w:tcPr>
            <w:tcW w:w="1779" w:type="dxa"/>
          </w:tcPr>
          <w:p w:rsidR="00DC0E28" w:rsidRDefault="00DC0E28">
            <w:pPr>
              <w:rPr>
                <w:b/>
              </w:rPr>
            </w:pPr>
            <w:r>
              <w:rPr>
                <w:b/>
              </w:rPr>
              <w:t>Wt:</w:t>
            </w:r>
          </w:p>
        </w:tc>
        <w:tc>
          <w:tcPr>
            <w:tcW w:w="7581" w:type="dxa"/>
          </w:tcPr>
          <w:p w:rsidR="00DC0E28" w:rsidRDefault="00DC0E28">
            <w:pPr>
              <w:rPr>
                <w:b/>
              </w:rPr>
            </w:pPr>
          </w:p>
        </w:tc>
      </w:tr>
      <w:tr w:rsidR="00DC0E28" w:rsidTr="00DC0E28">
        <w:tc>
          <w:tcPr>
            <w:tcW w:w="1779" w:type="dxa"/>
          </w:tcPr>
          <w:p w:rsidR="00DC0E28" w:rsidRDefault="00DC0E28">
            <w:pPr>
              <w:rPr>
                <w:b/>
              </w:rPr>
            </w:pPr>
            <w:r>
              <w:rPr>
                <w:b/>
              </w:rPr>
              <w:t>Dose:</w:t>
            </w:r>
          </w:p>
        </w:tc>
        <w:tc>
          <w:tcPr>
            <w:tcW w:w="7581" w:type="dxa"/>
          </w:tcPr>
          <w:p w:rsidR="00DC0E28" w:rsidRDefault="00DC0E28">
            <w:pPr>
              <w:rPr>
                <w:b/>
              </w:rPr>
            </w:pPr>
          </w:p>
        </w:tc>
      </w:tr>
      <w:tr w:rsidR="00DC0E28" w:rsidTr="00DC0E28">
        <w:tc>
          <w:tcPr>
            <w:tcW w:w="1779" w:type="dxa"/>
          </w:tcPr>
          <w:p w:rsidR="00DC0E28" w:rsidRDefault="00DC0E28">
            <w:pPr>
              <w:rPr>
                <w:b/>
              </w:rPr>
            </w:pPr>
            <w:r>
              <w:rPr>
                <w:b/>
              </w:rPr>
              <w:t>Volume Injected:</w:t>
            </w:r>
          </w:p>
        </w:tc>
        <w:tc>
          <w:tcPr>
            <w:tcW w:w="7581" w:type="dxa"/>
          </w:tcPr>
          <w:p w:rsidR="00DC0E28" w:rsidRDefault="00DC0E28">
            <w:pPr>
              <w:rPr>
                <w:b/>
              </w:rPr>
            </w:pPr>
          </w:p>
        </w:tc>
      </w:tr>
      <w:tr w:rsidR="00DC0E28" w:rsidTr="00DC0E28">
        <w:tc>
          <w:tcPr>
            <w:tcW w:w="1779" w:type="dxa"/>
          </w:tcPr>
          <w:p w:rsidR="00DC0E28" w:rsidRDefault="00DC0E28">
            <w:pPr>
              <w:rPr>
                <w:b/>
              </w:rPr>
            </w:pPr>
            <w:r>
              <w:rPr>
                <w:b/>
              </w:rPr>
              <w:t>Injection type:</w:t>
            </w:r>
          </w:p>
        </w:tc>
        <w:tc>
          <w:tcPr>
            <w:tcW w:w="7581" w:type="dxa"/>
          </w:tcPr>
          <w:p w:rsidR="00DC0E28" w:rsidRDefault="00DC0E28">
            <w:pPr>
              <w:rPr>
                <w:b/>
              </w:rPr>
            </w:pPr>
          </w:p>
        </w:tc>
      </w:tr>
      <w:tr w:rsidR="00DC0E28" w:rsidTr="00DC0E28">
        <w:tc>
          <w:tcPr>
            <w:tcW w:w="1779" w:type="dxa"/>
          </w:tcPr>
          <w:p w:rsidR="00DC0E28" w:rsidRDefault="00DC0E28">
            <w:pPr>
              <w:rPr>
                <w:b/>
              </w:rPr>
            </w:pPr>
            <w:r>
              <w:rPr>
                <w:b/>
              </w:rPr>
              <w:t>Notes/Bleeding:</w:t>
            </w:r>
          </w:p>
        </w:tc>
        <w:tc>
          <w:tcPr>
            <w:tcW w:w="7581" w:type="dxa"/>
          </w:tcPr>
          <w:p w:rsidR="00DC0E28" w:rsidRDefault="00DC0E28">
            <w:pPr>
              <w:rPr>
                <w:b/>
              </w:rPr>
            </w:pPr>
          </w:p>
        </w:tc>
      </w:tr>
    </w:tbl>
    <w:p w:rsidR="00DC0E28" w:rsidRDefault="00DC0E28">
      <w:pPr>
        <w:rPr>
          <w:b/>
        </w:rPr>
      </w:pPr>
    </w:p>
    <w:tbl>
      <w:tblPr>
        <w:tblStyle w:val="TableGrid"/>
        <w:tblW w:w="0" w:type="auto"/>
        <w:tblInd w:w="108" w:type="dxa"/>
        <w:tblLook w:val="04A0" w:firstRow="1" w:lastRow="0" w:firstColumn="1" w:lastColumn="0" w:noHBand="0" w:noVBand="1"/>
      </w:tblPr>
      <w:tblGrid>
        <w:gridCol w:w="1800"/>
        <w:gridCol w:w="7560"/>
      </w:tblGrid>
      <w:tr w:rsidR="00DC0E28" w:rsidTr="00DC0E28">
        <w:tc>
          <w:tcPr>
            <w:tcW w:w="1800" w:type="dxa"/>
          </w:tcPr>
          <w:p w:rsidR="00DC0E28" w:rsidRDefault="00DC0E28">
            <w:pPr>
              <w:rPr>
                <w:b/>
              </w:rPr>
            </w:pPr>
            <w:r>
              <w:rPr>
                <w:b/>
              </w:rPr>
              <w:t>Time</w:t>
            </w:r>
          </w:p>
        </w:tc>
        <w:tc>
          <w:tcPr>
            <w:tcW w:w="7560" w:type="dxa"/>
          </w:tcPr>
          <w:p w:rsidR="00DC0E28" w:rsidRDefault="00DC0E28">
            <w:pPr>
              <w:rPr>
                <w:b/>
              </w:rPr>
            </w:pPr>
            <w:r>
              <w:rPr>
                <w:b/>
              </w:rPr>
              <w:t>Comment</w:t>
            </w: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bl>
    <w:p w:rsidR="0026292F" w:rsidRDefault="0026292F">
      <w:pPr>
        <w:rPr>
          <w:b/>
        </w:rPr>
      </w:pPr>
    </w:p>
    <w:p w:rsidR="0026292F" w:rsidRDefault="0026292F">
      <w:pPr>
        <w:rPr>
          <w:b/>
        </w:rPr>
      </w:pPr>
      <w:r>
        <w:rPr>
          <w:b/>
        </w:rPr>
        <w:br w:type="page"/>
      </w:r>
    </w:p>
    <w:p w:rsidR="00A1771A" w:rsidRDefault="00A1771A" w:rsidP="00972B82">
      <w:pPr>
        <w:pStyle w:val="NoSpacing"/>
        <w:rPr>
          <w:b/>
        </w:rPr>
      </w:pPr>
      <w:bookmarkStart w:id="0" w:name="_GoBack"/>
      <w:bookmarkEnd w:id="0"/>
      <w:r>
        <w:rPr>
          <w:b/>
        </w:rPr>
        <w:lastRenderedPageBreak/>
        <w:t>Drug Injections</w:t>
      </w:r>
      <w:r w:rsidR="00CC385C">
        <w:rPr>
          <w:b/>
        </w:rPr>
        <w:t xml:space="preserve"> while</w:t>
      </w:r>
      <w:r>
        <w:rPr>
          <w:b/>
        </w:rPr>
        <w:t xml:space="preserve"> EEG Recording</w:t>
      </w:r>
    </w:p>
    <w:p w:rsidR="00A1771A" w:rsidRDefault="00A1771A" w:rsidP="00A1771A">
      <w:pPr>
        <w:pStyle w:val="NoSpacing"/>
        <w:numPr>
          <w:ilvl w:val="0"/>
          <w:numId w:val="13"/>
        </w:numPr>
      </w:pPr>
      <w:r>
        <w:t>Weigh mouse.</w:t>
      </w:r>
    </w:p>
    <w:p w:rsidR="00A1771A" w:rsidRDefault="00A1771A" w:rsidP="00A1771A">
      <w:pPr>
        <w:pStyle w:val="NoSpacing"/>
        <w:numPr>
          <w:ilvl w:val="0"/>
          <w:numId w:val="13"/>
        </w:numPr>
      </w:pPr>
      <w:r>
        <w:t>Connect preamp to head</w:t>
      </w:r>
      <w:r w:rsidR="00241391">
        <w:t xml:space="preserve"> </w:t>
      </w:r>
      <w:r>
        <w:t xml:space="preserve">stage. </w:t>
      </w:r>
      <w:r w:rsidR="00241391">
        <w:t>Verify EEG signals then begin recording.</w:t>
      </w:r>
    </w:p>
    <w:p w:rsidR="00241391" w:rsidRDefault="00241391" w:rsidP="00A1771A">
      <w:pPr>
        <w:pStyle w:val="NoSpacing"/>
        <w:numPr>
          <w:ilvl w:val="0"/>
          <w:numId w:val="13"/>
        </w:numPr>
      </w:pPr>
      <w:r>
        <w:t>Collect baseline.</w:t>
      </w:r>
    </w:p>
    <w:p w:rsidR="00241391" w:rsidRDefault="00241391" w:rsidP="00A1771A">
      <w:pPr>
        <w:pStyle w:val="NoSpacing"/>
        <w:numPr>
          <w:ilvl w:val="0"/>
          <w:numId w:val="13"/>
        </w:numPr>
      </w:pPr>
      <w:r>
        <w:t xml:space="preserve">Measure out dose to inject (eg 25g mouse @ 0.1mg/ml </w:t>
      </w:r>
      <w:r>
        <w:sym w:font="Wingdings" w:char="F0E0"/>
      </w:r>
      <w:r>
        <w:t xml:space="preserve"> measure out 0.25ml). For less then 0.3mL, use Terumo h-100 insulin syringe (29G). For more than 0.3mL, use </w:t>
      </w:r>
      <w:r w:rsidR="009E23A0">
        <w:t>1mL syringe.</w:t>
      </w:r>
    </w:p>
    <w:p w:rsidR="003A07E8" w:rsidRDefault="003A07E8" w:rsidP="00A1771A">
      <w:pPr>
        <w:pStyle w:val="NoSpacing"/>
        <w:numPr>
          <w:ilvl w:val="0"/>
          <w:numId w:val="13"/>
        </w:numPr>
      </w:pPr>
      <w:r>
        <w:t xml:space="preserve">When ready to inject, scruff mouse </w:t>
      </w:r>
      <w:r w:rsidR="00B64D30">
        <w:t xml:space="preserve">and pinch by shoulders. Follow below instructions for s.c. </w:t>
      </w:r>
      <w:r w:rsidR="006B1028">
        <w:t>injection.</w:t>
      </w:r>
    </w:p>
    <w:p w:rsidR="00CC385C" w:rsidRDefault="00687F35" w:rsidP="00A1771A">
      <w:pPr>
        <w:pStyle w:val="NoSpacing"/>
        <w:numPr>
          <w:ilvl w:val="0"/>
          <w:numId w:val="13"/>
        </w:numPr>
      </w:pPr>
      <w:r>
        <w:t xml:space="preserve">Place mouse back in cage with </w:t>
      </w:r>
      <w:r w:rsidR="004912BB">
        <w:t xml:space="preserve">cage </w:t>
      </w:r>
      <w:r>
        <w:t>t</w:t>
      </w:r>
      <w:r w:rsidR="004912BB">
        <w:t>op</w:t>
      </w:r>
      <w:r>
        <w:t>.</w:t>
      </w:r>
      <w:r w:rsidR="006A3CEA">
        <w:t xml:space="preserve"> Verify camera viewing angle is sufficient.</w:t>
      </w:r>
    </w:p>
    <w:p w:rsidR="006A3CEA" w:rsidRDefault="006A3CEA" w:rsidP="00A1771A">
      <w:pPr>
        <w:pStyle w:val="NoSpacing"/>
        <w:numPr>
          <w:ilvl w:val="0"/>
          <w:numId w:val="13"/>
        </w:numPr>
      </w:pPr>
      <w:r>
        <w:t>Monitor behavior and EEG</w:t>
      </w:r>
      <w:r w:rsidR="003A13E6">
        <w:t>.</w:t>
      </w:r>
    </w:p>
    <w:p w:rsidR="00A1771A" w:rsidRDefault="00A1771A" w:rsidP="00972B82">
      <w:pPr>
        <w:pStyle w:val="NoSpacing"/>
      </w:pPr>
    </w:p>
    <w:p w:rsidR="00A1771A" w:rsidRDefault="00A1771A" w:rsidP="00972B82">
      <w:pPr>
        <w:pStyle w:val="NoSpacing"/>
      </w:pPr>
    </w:p>
    <w:p w:rsidR="00972B82" w:rsidRPr="00B758B2" w:rsidRDefault="00111C26" w:rsidP="00972B82">
      <w:pPr>
        <w:pStyle w:val="NoSpacing"/>
        <w:rPr>
          <w:b/>
        </w:rPr>
      </w:pPr>
      <w:r w:rsidRPr="00B758B2">
        <w:rPr>
          <w:noProof/>
        </w:rPr>
        <w:drawing>
          <wp:anchor distT="0" distB="0" distL="0" distR="0" simplePos="0" relativeHeight="251657216" behindDoc="0" locked="0" layoutInCell="1" allowOverlap="0">
            <wp:simplePos x="0" y="0"/>
            <wp:positionH relativeFrom="column">
              <wp:posOffset>4422775</wp:posOffset>
            </wp:positionH>
            <wp:positionV relativeFrom="line">
              <wp:posOffset>92075</wp:posOffset>
            </wp:positionV>
            <wp:extent cx="2314575" cy="2047875"/>
            <wp:effectExtent l="0" t="0" r="0" b="0"/>
            <wp:wrapSquare wrapText="bothSides"/>
            <wp:docPr id="2" name="Picture 2" descr="Subcutaneous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utaneous mouse injection"/>
                    <pic:cNvPicPr>
                      <a:picLocks noChangeAspect="1" noChangeArrowheads="1"/>
                    </pic:cNvPicPr>
                  </pic:nvPicPr>
                  <pic:blipFill>
                    <a:blip r:embed="rId8" cstate="print"/>
                    <a:srcRect/>
                    <a:stretch>
                      <a:fillRect/>
                    </a:stretch>
                  </pic:blipFill>
                  <pic:spPr bwMode="auto">
                    <a:xfrm>
                      <a:off x="0" y="0"/>
                      <a:ext cx="2314575" cy="2047875"/>
                    </a:xfrm>
                    <a:prstGeom prst="rect">
                      <a:avLst/>
                    </a:prstGeom>
                    <a:noFill/>
                    <a:ln w="9525">
                      <a:noFill/>
                      <a:miter lim="800000"/>
                      <a:headEnd/>
                      <a:tailEnd/>
                    </a:ln>
                  </pic:spPr>
                </pic:pic>
              </a:graphicData>
            </a:graphic>
          </wp:anchor>
        </w:drawing>
      </w:r>
      <w:r w:rsidR="00972B82" w:rsidRPr="00B758B2">
        <w:t xml:space="preserve"> </w:t>
      </w:r>
      <w:r w:rsidR="00972B82" w:rsidRPr="00B758B2">
        <w:rPr>
          <w:b/>
        </w:rPr>
        <w:t xml:space="preserve">Subcutaneous Injections </w:t>
      </w:r>
      <w:r w:rsidR="00B64D30">
        <w:rPr>
          <w:b/>
        </w:rPr>
        <w:t>(s.c.)</w:t>
      </w:r>
    </w:p>
    <w:p w:rsidR="00972B82" w:rsidRPr="00B758B2" w:rsidRDefault="00111C26" w:rsidP="00B758B2">
      <w:pPr>
        <w:pStyle w:val="NoSpacing"/>
        <w:numPr>
          <w:ilvl w:val="0"/>
          <w:numId w:val="12"/>
        </w:numPr>
      </w:pPr>
      <w:r w:rsidRPr="00B758B2">
        <w:t>Restrain the mouse by the scruff method. Use your thumb and forefinger to make a</w:t>
      </w:r>
      <w:r w:rsidR="00972B82" w:rsidRPr="00B758B2">
        <w:t xml:space="preserve"> tent of skin over the scruff.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When injecting an awake mouse, place the mouse on the wire lid so it can hang on with its front paws during the injection. Scruff the skin over the back and tent it up. Your hand is both restraining the mouse and presenting the area to be injected.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Insert the needle at the tent base, being careful to avoid directing the needle at your fingers. Your fingers should be at top of the tent, safely above the point of the needle’s entry. Hold the needle parallel to the animal’s body to also avoid puncturing underlying structures.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Aspirate to ensure that the needle has not entered a blood vessel.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Inject the full volume at a moderate rate.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Withdraw the needle and then press the skin to seal the needle’s exit hole in the skin and to prevent the fluid from leaking out.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Check the animal for any bleeding.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Because the fluid has been deposited in the subcutaneous space, you can see and feel the bubble of fluid, called a bleb.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Note: Mice will generally not object to a subcutaneous injection when they are allowed to grasp the wire lid.</w:t>
      </w:r>
    </w:p>
    <w:p w:rsidR="00D607EB" w:rsidRPr="00B758B2" w:rsidRDefault="00D607EB" w:rsidP="00B5460B">
      <w:pPr>
        <w:pStyle w:val="NoSpacing"/>
        <w:ind w:left="720"/>
      </w:pPr>
    </w:p>
    <w:p w:rsidR="00972B82" w:rsidRPr="00B758B2" w:rsidRDefault="0026292F" w:rsidP="00972B82">
      <w:pPr>
        <w:pStyle w:val="NoSpacing"/>
      </w:pPr>
      <w:r w:rsidRPr="00B758B2">
        <w:rPr>
          <w:noProof/>
        </w:rPr>
        <w:drawing>
          <wp:anchor distT="0" distB="0" distL="0" distR="0" simplePos="0" relativeHeight="251658240" behindDoc="0" locked="0" layoutInCell="1" allowOverlap="0" wp14:anchorId="76164160" wp14:editId="4ED6E733">
            <wp:simplePos x="0" y="0"/>
            <wp:positionH relativeFrom="column">
              <wp:posOffset>4524375</wp:posOffset>
            </wp:positionH>
            <wp:positionV relativeFrom="line">
              <wp:posOffset>80645</wp:posOffset>
            </wp:positionV>
            <wp:extent cx="2333625" cy="1543050"/>
            <wp:effectExtent l="0" t="0" r="0" b="0"/>
            <wp:wrapSquare wrapText="bothSides"/>
            <wp:docPr id="3" name="Picture 3" descr="Intraperitoneal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aperitoneal mouse injection"/>
                    <pic:cNvPicPr>
                      <a:picLocks noChangeAspect="1" noChangeArrowheads="1"/>
                    </pic:cNvPicPr>
                  </pic:nvPicPr>
                  <pic:blipFill>
                    <a:blip r:embed="rId9" cstate="print"/>
                    <a:srcRect/>
                    <a:stretch>
                      <a:fillRect/>
                    </a:stretch>
                  </pic:blipFill>
                  <pic:spPr bwMode="auto">
                    <a:xfrm>
                      <a:off x="0" y="0"/>
                      <a:ext cx="2333625" cy="1543050"/>
                    </a:xfrm>
                    <a:prstGeom prst="rect">
                      <a:avLst/>
                    </a:prstGeom>
                    <a:noFill/>
                    <a:ln w="9525">
                      <a:noFill/>
                      <a:miter lim="800000"/>
                      <a:headEnd/>
                      <a:tailEnd/>
                    </a:ln>
                  </pic:spPr>
                </pic:pic>
              </a:graphicData>
            </a:graphic>
          </wp:anchor>
        </w:drawing>
      </w:r>
      <w:r w:rsidR="00111C26" w:rsidRPr="00B758B2">
        <w:rPr>
          <w:b/>
          <w:bCs/>
        </w:rPr>
        <w:t xml:space="preserve">Intraperitoneal </w:t>
      </w:r>
      <w:r w:rsidR="00111C26" w:rsidRPr="00B64D30">
        <w:rPr>
          <w:b/>
          <w:bCs/>
        </w:rPr>
        <w:t>Injections</w:t>
      </w:r>
      <w:r w:rsidR="00972B82" w:rsidRPr="00B64D30">
        <w:rPr>
          <w:b/>
        </w:rPr>
        <w:t xml:space="preserve"> </w:t>
      </w:r>
      <w:r w:rsidR="00B64D30" w:rsidRPr="00B64D30">
        <w:rPr>
          <w:b/>
        </w:rPr>
        <w:t>(i.p.)</w:t>
      </w:r>
    </w:p>
    <w:p w:rsidR="00972B82" w:rsidRPr="00B758B2" w:rsidRDefault="00111C26" w:rsidP="00972B82">
      <w:pPr>
        <w:pStyle w:val="NoSpacing"/>
        <w:numPr>
          <w:ilvl w:val="0"/>
          <w:numId w:val="10"/>
        </w:numPr>
      </w:pPr>
      <w:r w:rsidRPr="00B758B2">
        <w:t>Restrain the mouse by the scruff method. Expose the ventral side of the animal, tilting the</w:t>
      </w:r>
      <w:r w:rsidR="00972B82" w:rsidRPr="00B758B2">
        <w:t xml:space="preserve"> head down at a slight angle.</w:t>
      </w:r>
    </w:p>
    <w:p w:rsidR="00972B82" w:rsidRPr="00B758B2" w:rsidRDefault="00111C26" w:rsidP="00972B82">
      <w:pPr>
        <w:pStyle w:val="NoSpacing"/>
        <w:numPr>
          <w:ilvl w:val="0"/>
          <w:numId w:val="10"/>
        </w:numPr>
      </w:pPr>
      <w:r w:rsidRPr="00B758B2">
        <w:t>The sterile needle should be placed, bevel up, in the lower right or left quad</w:t>
      </w:r>
      <w:r w:rsidR="00972B82" w:rsidRPr="00B758B2">
        <w:t xml:space="preserve">rant of the animal’s abdomen. </w:t>
      </w:r>
    </w:p>
    <w:p w:rsidR="00972B82" w:rsidRPr="00B758B2" w:rsidRDefault="00111C26" w:rsidP="00972B82">
      <w:pPr>
        <w:pStyle w:val="NoSpacing"/>
        <w:numPr>
          <w:ilvl w:val="0"/>
          <w:numId w:val="10"/>
        </w:numPr>
      </w:pPr>
      <w:r w:rsidRPr="00B758B2">
        <w:t>Inse</w:t>
      </w:r>
      <w:r w:rsidR="00972B82" w:rsidRPr="00B758B2">
        <w:t xml:space="preserve">rt the needle at a 30° angle. </w:t>
      </w:r>
    </w:p>
    <w:p w:rsidR="00111C26" w:rsidRDefault="00111C26" w:rsidP="00972B82">
      <w:pPr>
        <w:pStyle w:val="NoSpacing"/>
        <w:numPr>
          <w:ilvl w:val="0"/>
          <w:numId w:val="10"/>
        </w:numPr>
      </w:pPr>
      <w:r w:rsidRPr="00B758B2">
        <w:t>Aspirate to ensure proper placement and inject the material.</w:t>
      </w:r>
      <w:r w:rsidRPr="00B758B2">
        <w:rPr>
          <w:noProof/>
        </w:rPr>
        <w:t xml:space="preserve"> </w:t>
      </w:r>
    </w:p>
    <w:p w:rsidR="002E357F" w:rsidRDefault="002E357F" w:rsidP="002E357F">
      <w:pPr>
        <w:pStyle w:val="NoSpacing"/>
      </w:pPr>
      <w:hyperlink r:id="rId10" w:history="1">
        <w:r w:rsidRPr="00E52D62">
          <w:rPr>
            <w:rStyle w:val="Hyperlink"/>
          </w:rPr>
          <w:t>https://www.jove.com/science-education/10198/compound-administration-i</w:t>
        </w:r>
      </w:hyperlink>
    </w:p>
    <w:p w:rsidR="002E357F" w:rsidRPr="00B758B2" w:rsidRDefault="002E357F" w:rsidP="002E357F">
      <w:pPr>
        <w:pStyle w:val="NoSpacing"/>
      </w:pPr>
    </w:p>
    <w:sectPr w:rsidR="002E357F" w:rsidRPr="00B758B2" w:rsidSect="0026292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D81" w:rsidRDefault="00C30D81" w:rsidP="000E065B">
      <w:pPr>
        <w:spacing w:after="0" w:line="240" w:lineRule="auto"/>
      </w:pPr>
      <w:r>
        <w:separator/>
      </w:r>
    </w:p>
  </w:endnote>
  <w:endnote w:type="continuationSeparator" w:id="0">
    <w:p w:rsidR="00C30D81" w:rsidRDefault="00C30D81" w:rsidP="000E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D81" w:rsidRDefault="00C30D81" w:rsidP="000E065B">
      <w:pPr>
        <w:spacing w:after="0" w:line="240" w:lineRule="auto"/>
      </w:pPr>
      <w:r>
        <w:separator/>
      </w:r>
    </w:p>
  </w:footnote>
  <w:footnote w:type="continuationSeparator" w:id="0">
    <w:p w:rsidR="00C30D81" w:rsidRDefault="00C30D81" w:rsidP="000E0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5B" w:rsidRDefault="000E065B">
    <w:pPr>
      <w:pStyle w:val="Normal1"/>
    </w:pPr>
  </w:p>
  <w:p w:rsidR="000E065B" w:rsidRDefault="007B57C2">
    <w:pPr>
      <w:pStyle w:val="Normal1"/>
    </w:pPr>
    <w:r>
      <w:rPr>
        <w:rFonts w:ascii="Calibri" w:eastAsia="Calibri" w:hAnsi="Calibri" w:cs="Calibri"/>
      </w:rPr>
      <w:t>Protocol for Drug Injection</w:t>
    </w:r>
    <w:r w:rsidR="00E12E7D">
      <w:rPr>
        <w:rFonts w:ascii="Calibri" w:eastAsia="Calibri" w:hAnsi="Calibri" w:cs="Calibri"/>
      </w:rPr>
      <w:t xml:space="preserve"> into Mice</w:t>
    </w:r>
    <w:r>
      <w:rPr>
        <w:rFonts w:ascii="Calibri" w:eastAsia="Calibri" w:hAnsi="Calibri" w:cs="Calibri"/>
      </w:rPr>
      <w:t xml:space="preserve"> with</w:t>
    </w:r>
    <w:r w:rsidR="00E31637">
      <w:rPr>
        <w:rFonts w:ascii="Calibri" w:eastAsia="Calibri" w:hAnsi="Calibri" w:cs="Calibri"/>
      </w:rPr>
      <w:t xml:space="preserve"> simultaneous</w:t>
    </w:r>
    <w:r>
      <w:rPr>
        <w:rFonts w:ascii="Calibri" w:eastAsia="Calibri" w:hAnsi="Calibri" w:cs="Calibri"/>
      </w:rPr>
      <w:t xml:space="preserve"> EEG recording</w:t>
    </w:r>
  </w:p>
  <w:p w:rsidR="000E065B" w:rsidRDefault="00A478E9">
    <w:pPr>
      <w:pStyle w:val="Normal1"/>
    </w:pPr>
    <w:r>
      <w:rPr>
        <w:rFonts w:ascii="Calibri" w:eastAsia="Calibri" w:hAnsi="Calibri" w:cs="Calibri"/>
      </w:rPr>
      <w:t>Kam, Korey</w:t>
    </w:r>
  </w:p>
  <w:p w:rsidR="000E065B" w:rsidRDefault="000E065B">
    <w:pPr>
      <w:pStyle w:val="Normal1"/>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EB0"/>
    <w:multiLevelType w:val="hybridMultilevel"/>
    <w:tmpl w:val="AE52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0675C"/>
    <w:multiLevelType w:val="multilevel"/>
    <w:tmpl w:val="A3324DE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20256A39"/>
    <w:multiLevelType w:val="hybridMultilevel"/>
    <w:tmpl w:val="C8C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7BD9"/>
    <w:multiLevelType w:val="hybridMultilevel"/>
    <w:tmpl w:val="2C9E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809BD"/>
    <w:multiLevelType w:val="hybridMultilevel"/>
    <w:tmpl w:val="7604F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A60C96"/>
    <w:multiLevelType w:val="hybridMultilevel"/>
    <w:tmpl w:val="202C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96447"/>
    <w:multiLevelType w:val="hybridMultilevel"/>
    <w:tmpl w:val="D09C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86A10"/>
    <w:multiLevelType w:val="hybridMultilevel"/>
    <w:tmpl w:val="50F0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A0730"/>
    <w:multiLevelType w:val="hybridMultilevel"/>
    <w:tmpl w:val="25F800E8"/>
    <w:lvl w:ilvl="0" w:tplc="0409000F">
      <w:start w:val="1"/>
      <w:numFmt w:val="decimal"/>
      <w:lvlText w:val="%1."/>
      <w:lvlJc w:val="left"/>
      <w:pPr>
        <w:ind w:left="720" w:hanging="360"/>
      </w:pPr>
    </w:lvl>
    <w:lvl w:ilvl="1" w:tplc="0DEC87E4">
      <w:numFmt w:val="bullet"/>
      <w:lvlText w:val=""/>
      <w:lvlJc w:val="left"/>
      <w:pPr>
        <w:ind w:left="1440" w:hanging="360"/>
      </w:pPr>
      <w:rPr>
        <w:rFonts w:ascii="Symbol" w:eastAsia="Times New Roman" w:hAnsi="Symbol"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553380"/>
    <w:multiLevelType w:val="hybridMultilevel"/>
    <w:tmpl w:val="FE6AB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52E1B"/>
    <w:multiLevelType w:val="hybridMultilevel"/>
    <w:tmpl w:val="1FAC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E07BF"/>
    <w:multiLevelType w:val="hybridMultilevel"/>
    <w:tmpl w:val="EA2E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1716C"/>
    <w:multiLevelType w:val="multilevel"/>
    <w:tmpl w:val="F320AC2C"/>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
  </w:num>
  <w:num w:numId="2">
    <w:abstractNumId w:val="12"/>
  </w:num>
  <w:num w:numId="3">
    <w:abstractNumId w:val="4"/>
  </w:num>
  <w:num w:numId="4">
    <w:abstractNumId w:val="5"/>
  </w:num>
  <w:num w:numId="5">
    <w:abstractNumId w:val="7"/>
  </w:num>
  <w:num w:numId="6">
    <w:abstractNumId w:val="2"/>
  </w:num>
  <w:num w:numId="7">
    <w:abstractNumId w:val="10"/>
  </w:num>
  <w:num w:numId="8">
    <w:abstractNumId w:val="3"/>
  </w:num>
  <w:num w:numId="9">
    <w:abstractNumId w:val="6"/>
  </w:num>
  <w:num w:numId="10">
    <w:abstractNumId w:val="11"/>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5ferve3svzelea00tvextf9fswdezs20fw&quot;&gt;Korey&amp;apos;s EndNote Library&lt;record-ids&gt;&lt;item&gt;17&lt;/item&gt;&lt;item&gt;93&lt;/item&gt;&lt;item&gt;98&lt;/item&gt;&lt;item&gt;104&lt;/item&gt;&lt;item&gt;107&lt;/item&gt;&lt;item&gt;110&lt;/item&gt;&lt;item&gt;114&lt;/item&gt;&lt;item&gt;119&lt;/item&gt;&lt;item&gt;120&lt;/item&gt;&lt;item&gt;121&lt;/item&gt;&lt;/record-ids&gt;&lt;/item&gt;&lt;/Libraries&gt;"/>
  </w:docVars>
  <w:rsids>
    <w:rsidRoot w:val="000E065B"/>
    <w:rsid w:val="0002455F"/>
    <w:rsid w:val="000E065B"/>
    <w:rsid w:val="00111C26"/>
    <w:rsid w:val="00121796"/>
    <w:rsid w:val="00145EC0"/>
    <w:rsid w:val="001943C7"/>
    <w:rsid w:val="001A159F"/>
    <w:rsid w:val="00241391"/>
    <w:rsid w:val="0026292F"/>
    <w:rsid w:val="002A0D1D"/>
    <w:rsid w:val="002E357F"/>
    <w:rsid w:val="002E7326"/>
    <w:rsid w:val="003A07E8"/>
    <w:rsid w:val="003A13E6"/>
    <w:rsid w:val="004912BB"/>
    <w:rsid w:val="004974D8"/>
    <w:rsid w:val="004A4FE3"/>
    <w:rsid w:val="004A7D84"/>
    <w:rsid w:val="004B6DDA"/>
    <w:rsid w:val="00505B70"/>
    <w:rsid w:val="006145C7"/>
    <w:rsid w:val="006318CB"/>
    <w:rsid w:val="006773E0"/>
    <w:rsid w:val="00687F35"/>
    <w:rsid w:val="006A3CEA"/>
    <w:rsid w:val="006B1028"/>
    <w:rsid w:val="006F25DD"/>
    <w:rsid w:val="007423BC"/>
    <w:rsid w:val="00773BD4"/>
    <w:rsid w:val="007B57C2"/>
    <w:rsid w:val="00807453"/>
    <w:rsid w:val="0081729D"/>
    <w:rsid w:val="0089428F"/>
    <w:rsid w:val="008D1EC6"/>
    <w:rsid w:val="008D233A"/>
    <w:rsid w:val="009443A8"/>
    <w:rsid w:val="00970E78"/>
    <w:rsid w:val="00972B82"/>
    <w:rsid w:val="009D3113"/>
    <w:rsid w:val="009E23A0"/>
    <w:rsid w:val="00A1771A"/>
    <w:rsid w:val="00A32205"/>
    <w:rsid w:val="00A478E9"/>
    <w:rsid w:val="00A920B9"/>
    <w:rsid w:val="00AC21EA"/>
    <w:rsid w:val="00B5016A"/>
    <w:rsid w:val="00B5460B"/>
    <w:rsid w:val="00B64D30"/>
    <w:rsid w:val="00B758B2"/>
    <w:rsid w:val="00B774C5"/>
    <w:rsid w:val="00C30D81"/>
    <w:rsid w:val="00C531EC"/>
    <w:rsid w:val="00CC385C"/>
    <w:rsid w:val="00CF6838"/>
    <w:rsid w:val="00D607EB"/>
    <w:rsid w:val="00D61BD0"/>
    <w:rsid w:val="00DA30AA"/>
    <w:rsid w:val="00DC0E28"/>
    <w:rsid w:val="00E1185A"/>
    <w:rsid w:val="00E12E7D"/>
    <w:rsid w:val="00E31637"/>
    <w:rsid w:val="00E87F47"/>
    <w:rsid w:val="00EC0F4B"/>
    <w:rsid w:val="00F21F5F"/>
    <w:rsid w:val="00F307AF"/>
    <w:rsid w:val="00F81496"/>
    <w:rsid w:val="00FD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D84"/>
  </w:style>
  <w:style w:type="paragraph" w:styleId="Heading1">
    <w:name w:val="heading 1"/>
    <w:basedOn w:val="Normal1"/>
    <w:next w:val="Normal1"/>
    <w:rsid w:val="000E065B"/>
    <w:pPr>
      <w:spacing w:before="200"/>
      <w:outlineLvl w:val="0"/>
    </w:pPr>
    <w:rPr>
      <w:rFonts w:ascii="Trebuchet MS" w:eastAsia="Trebuchet MS" w:hAnsi="Trebuchet MS" w:cs="Trebuchet MS"/>
      <w:sz w:val="32"/>
    </w:rPr>
  </w:style>
  <w:style w:type="paragraph" w:styleId="Heading2">
    <w:name w:val="heading 2"/>
    <w:basedOn w:val="Normal1"/>
    <w:next w:val="Normal1"/>
    <w:rsid w:val="000E065B"/>
    <w:pPr>
      <w:spacing w:before="200"/>
      <w:outlineLvl w:val="1"/>
    </w:pPr>
    <w:rPr>
      <w:rFonts w:ascii="Trebuchet MS" w:eastAsia="Trebuchet MS" w:hAnsi="Trebuchet MS" w:cs="Trebuchet MS"/>
      <w:b/>
      <w:sz w:val="26"/>
    </w:rPr>
  </w:style>
  <w:style w:type="paragraph" w:styleId="Heading3">
    <w:name w:val="heading 3"/>
    <w:basedOn w:val="Normal1"/>
    <w:next w:val="Normal1"/>
    <w:rsid w:val="000E065B"/>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0E065B"/>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0E065B"/>
    <w:pPr>
      <w:spacing w:before="160"/>
      <w:outlineLvl w:val="4"/>
    </w:pPr>
    <w:rPr>
      <w:rFonts w:ascii="Trebuchet MS" w:eastAsia="Trebuchet MS" w:hAnsi="Trebuchet MS" w:cs="Trebuchet MS"/>
      <w:color w:val="666666"/>
    </w:rPr>
  </w:style>
  <w:style w:type="paragraph" w:styleId="Heading6">
    <w:name w:val="heading 6"/>
    <w:basedOn w:val="Normal1"/>
    <w:next w:val="Normal1"/>
    <w:rsid w:val="000E065B"/>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065B"/>
    <w:pPr>
      <w:spacing w:after="0"/>
    </w:pPr>
    <w:rPr>
      <w:rFonts w:ascii="Arial" w:eastAsia="Arial" w:hAnsi="Arial" w:cs="Arial"/>
      <w:color w:val="000000"/>
    </w:rPr>
  </w:style>
  <w:style w:type="paragraph" w:styleId="Title">
    <w:name w:val="Title"/>
    <w:basedOn w:val="Normal1"/>
    <w:next w:val="Normal1"/>
    <w:rsid w:val="000E065B"/>
    <w:rPr>
      <w:rFonts w:ascii="Trebuchet MS" w:eastAsia="Trebuchet MS" w:hAnsi="Trebuchet MS" w:cs="Trebuchet MS"/>
      <w:sz w:val="42"/>
    </w:rPr>
  </w:style>
  <w:style w:type="paragraph" w:styleId="Subtitle">
    <w:name w:val="Subtitle"/>
    <w:basedOn w:val="Normal1"/>
    <w:next w:val="Normal1"/>
    <w:rsid w:val="000E065B"/>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E065B"/>
    <w:pPr>
      <w:spacing w:line="240" w:lineRule="auto"/>
    </w:pPr>
    <w:rPr>
      <w:sz w:val="20"/>
      <w:szCs w:val="20"/>
    </w:rPr>
  </w:style>
  <w:style w:type="character" w:customStyle="1" w:styleId="CommentTextChar">
    <w:name w:val="Comment Text Char"/>
    <w:basedOn w:val="DefaultParagraphFont"/>
    <w:link w:val="CommentText"/>
    <w:uiPriority w:val="99"/>
    <w:semiHidden/>
    <w:rsid w:val="000E065B"/>
    <w:rPr>
      <w:sz w:val="20"/>
      <w:szCs w:val="20"/>
    </w:rPr>
  </w:style>
  <w:style w:type="character" w:styleId="CommentReference">
    <w:name w:val="annotation reference"/>
    <w:basedOn w:val="DefaultParagraphFont"/>
    <w:uiPriority w:val="99"/>
    <w:semiHidden/>
    <w:unhideWhenUsed/>
    <w:rsid w:val="000E065B"/>
    <w:rPr>
      <w:sz w:val="16"/>
      <w:szCs w:val="16"/>
    </w:rPr>
  </w:style>
  <w:style w:type="paragraph" w:styleId="BalloonText">
    <w:name w:val="Balloon Text"/>
    <w:basedOn w:val="Normal"/>
    <w:link w:val="BalloonTextChar"/>
    <w:uiPriority w:val="99"/>
    <w:semiHidden/>
    <w:unhideWhenUsed/>
    <w:rsid w:val="00F2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5F"/>
    <w:rPr>
      <w:rFonts w:ascii="Tahoma" w:hAnsi="Tahoma" w:cs="Tahoma"/>
      <w:sz w:val="16"/>
      <w:szCs w:val="16"/>
    </w:rPr>
  </w:style>
  <w:style w:type="paragraph" w:styleId="Header">
    <w:name w:val="header"/>
    <w:basedOn w:val="Normal"/>
    <w:link w:val="HeaderChar"/>
    <w:uiPriority w:val="99"/>
    <w:semiHidden/>
    <w:unhideWhenUsed/>
    <w:rsid w:val="00F21F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F5F"/>
  </w:style>
  <w:style w:type="paragraph" w:styleId="Footer">
    <w:name w:val="footer"/>
    <w:basedOn w:val="Normal"/>
    <w:link w:val="FooterChar"/>
    <w:uiPriority w:val="99"/>
    <w:semiHidden/>
    <w:unhideWhenUsed/>
    <w:rsid w:val="00F21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F5F"/>
  </w:style>
  <w:style w:type="character" w:styleId="Hyperlink">
    <w:name w:val="Hyperlink"/>
    <w:basedOn w:val="DefaultParagraphFont"/>
    <w:uiPriority w:val="99"/>
    <w:unhideWhenUsed/>
    <w:rsid w:val="004974D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774C5"/>
    <w:rPr>
      <w:b/>
      <w:bCs/>
    </w:rPr>
  </w:style>
  <w:style w:type="character" w:customStyle="1" w:styleId="CommentSubjectChar">
    <w:name w:val="Comment Subject Char"/>
    <w:basedOn w:val="CommentTextChar"/>
    <w:link w:val="CommentSubject"/>
    <w:uiPriority w:val="99"/>
    <w:semiHidden/>
    <w:rsid w:val="00B774C5"/>
    <w:rPr>
      <w:b/>
      <w:bCs/>
      <w:sz w:val="20"/>
      <w:szCs w:val="20"/>
    </w:rPr>
  </w:style>
  <w:style w:type="paragraph" w:styleId="ListParagraph">
    <w:name w:val="List Paragraph"/>
    <w:basedOn w:val="Normal"/>
    <w:uiPriority w:val="34"/>
    <w:qFormat/>
    <w:rsid w:val="00972B82"/>
    <w:pPr>
      <w:ind w:left="720"/>
      <w:contextualSpacing/>
    </w:pPr>
  </w:style>
  <w:style w:type="paragraph" w:styleId="NoSpacing">
    <w:name w:val="No Spacing"/>
    <w:uiPriority w:val="1"/>
    <w:qFormat/>
    <w:rsid w:val="00972B82"/>
    <w:pPr>
      <w:spacing w:after="0" w:line="240" w:lineRule="auto"/>
    </w:pPr>
  </w:style>
  <w:style w:type="table" w:styleId="TableGrid">
    <w:name w:val="Table Grid"/>
    <w:basedOn w:val="TableNormal"/>
    <w:uiPriority w:val="59"/>
    <w:rsid w:val="00DC0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7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jove.com/science-education/10198/compound-administration-i"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Koreys_Specific Aims_Early phase_v5.docx</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Koreys_Specific Aims_Early phase_v5.docx</dc:title>
  <dc:creator>Korey Kam</dc:creator>
  <cp:lastModifiedBy>Kam, Korey</cp:lastModifiedBy>
  <cp:revision>27</cp:revision>
  <dcterms:created xsi:type="dcterms:W3CDTF">2013-07-02T18:40:00Z</dcterms:created>
  <dcterms:modified xsi:type="dcterms:W3CDTF">2019-05-20T13:35:00Z</dcterms:modified>
</cp:coreProperties>
</file>