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661B4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661B4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661B47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661B4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5583583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5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lastRenderedPageBreak/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5583587"/>
      <w:r>
        <w:rPr>
          <w:rFonts w:eastAsia="Times New Roman"/>
        </w:rPr>
        <w:t>Secondary antibodies</w:t>
      </w:r>
      <w:bookmarkEnd w:id="4"/>
    </w:p>
    <w:p w14:paraId="518ADEFA" w14:textId="40654935" w:rsidR="007F53CD" w:rsidRPr="007F53CD" w:rsidRDefault="007F53CD" w:rsidP="007B1599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583588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6" w:name="_Toc505583589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>body, in Block soln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>wash PTwH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Pr="001D0970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  <w:bookmarkStart w:id="7" w:name="_GoBack"/>
      <w:bookmarkEnd w:id="7"/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8" w:name="_Toc505583590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71"/>
        <w:gridCol w:w="2527"/>
        <w:gridCol w:w="2527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r>
              <w:rPr>
                <w:sz w:val="18"/>
                <w:szCs w:val="18"/>
              </w:rPr>
              <w:t>ECi</w:t>
            </w:r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154FF1" w:rsidRPr="00313D8B" w:rsidRDefault="009F4BF4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5F86419E" w:rsidR="00E552CB" w:rsidRDefault="007B1599" w:rsidP="00E552CB">
      <w:pPr>
        <w:ind w:firstLine="0"/>
      </w:pPr>
      <w:r>
        <w:t xml:space="preserve">Eg.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>
        <w:t>8mL EtOH + 2mL Tween</w:t>
      </w:r>
    </w:p>
    <w:p w14:paraId="44082A39" w14:textId="08489E3C" w:rsidR="009952B6" w:rsidRDefault="009952B6" w:rsidP="009952B6">
      <w:pPr>
        <w:pStyle w:val="Heading1"/>
      </w:pPr>
      <w:bookmarkStart w:id="9" w:name="_Toc505583591"/>
      <w:r>
        <w:t>Tissue check</w:t>
      </w:r>
      <w:bookmarkEnd w:id="9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78756F20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minimize air in tube during dehydration/ECi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>0 uL</w:t>
      </w:r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01161F54" w14:textId="75B0CD23" w:rsidR="001049A8" w:rsidRDefault="00106E64" w:rsidP="00926092">
      <w:pPr>
        <w:pStyle w:val="NoSpacing"/>
        <w:numPr>
          <w:ilvl w:val="0"/>
          <w:numId w:val="34"/>
        </w:numPr>
      </w:pPr>
      <w:r>
        <w:t>Secondary Gt An</w:t>
      </w:r>
      <w:r w:rsidR="007057FA">
        <w:t>ti-Rb AlexaFluor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>0 u</w:t>
      </w:r>
      <w:r w:rsidR="006C5CFE">
        <w:t>L</w:t>
      </w:r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lastRenderedPageBreak/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661B47" w:rsidP="00926092">
      <w:pPr>
        <w:pStyle w:val="NoSpacing"/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4A72858E" w14:textId="77777777" w:rsidR="004B55D0" w:rsidRDefault="00661B47" w:rsidP="004B55D0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6AE4D" w14:textId="77777777" w:rsidR="00661B47" w:rsidRDefault="00661B47" w:rsidP="00F77B0C">
      <w:pPr>
        <w:spacing w:after="0" w:line="240" w:lineRule="auto"/>
      </w:pPr>
      <w:r>
        <w:separator/>
      </w:r>
    </w:p>
  </w:endnote>
  <w:endnote w:type="continuationSeparator" w:id="0">
    <w:p w14:paraId="4AECAB1F" w14:textId="77777777" w:rsidR="00661B47" w:rsidRDefault="00661B47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377F4E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377F4E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7B1599">
      <w:rPr>
        <w:noProof/>
      </w:rPr>
      <w:t>2/6/2018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9489" w14:textId="77777777" w:rsidR="00661B47" w:rsidRDefault="00661B47" w:rsidP="00F77B0C">
      <w:pPr>
        <w:spacing w:after="0" w:line="240" w:lineRule="auto"/>
      </w:pPr>
      <w:r>
        <w:separator/>
      </w:r>
    </w:p>
  </w:footnote>
  <w:footnote w:type="continuationSeparator" w:id="0">
    <w:p w14:paraId="271E5383" w14:textId="77777777" w:rsidR="00661B47" w:rsidRDefault="00661B47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EA8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599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E486A3-3B5E-4E95-9BFB-EA79BE69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96</cp:revision>
  <cp:lastPrinted>2015-07-20T20:04:00Z</cp:lastPrinted>
  <dcterms:created xsi:type="dcterms:W3CDTF">2018-01-14T14:57:00Z</dcterms:created>
  <dcterms:modified xsi:type="dcterms:W3CDTF">2018-02-06T13:36:00Z</dcterms:modified>
</cp:coreProperties>
</file>