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EF16BF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EF16BF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EF16BF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EF16BF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EF16BF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EF16BF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EF16BF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EF16BF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r>
        <w:rPr>
          <w:rFonts w:ascii="Georgia" w:hAnsi="Georgia"/>
          <w:b/>
          <w:bCs/>
          <w:color w:val="000000"/>
          <w:u w:val="single"/>
        </w:rPr>
        <w:t>eDISCO</w:t>
      </w:r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>thyl cinnamate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(eDISCO</w:t>
            </w:r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(iDISCO uses tritonX)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r w:rsidRPr="00592CBF">
        <w:rPr>
          <w:rFonts w:eastAsia="Times New Roman"/>
        </w:rPr>
        <w:t>PTwH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r>
        <w:rPr>
          <w:rFonts w:eastAsia="Times New Roman"/>
        </w:rPr>
        <w:t>Permeabilizing</w:t>
      </w:r>
      <w:r w:rsidR="00400C2A">
        <w:rPr>
          <w:rFonts w:eastAsia="Times New Roman"/>
        </w:rPr>
        <w:t xml:space="preserve"> buffer</w:t>
      </w:r>
      <w:r w:rsidR="00B617B7">
        <w:rPr>
          <w:rFonts w:eastAsia="Times New Roman"/>
        </w:rPr>
        <w:t>+sap</w:t>
      </w:r>
      <w:r w:rsidR="00592CBF" w:rsidRPr="00592CBF">
        <w:rPr>
          <w:rFonts w:eastAsia="Times New Roman"/>
        </w:rPr>
        <w:t xml:space="preserve"> (</w:t>
      </w:r>
      <w:r w:rsidR="000E5E82">
        <w:rPr>
          <w:rFonts w:eastAsia="Times New Roman"/>
        </w:rPr>
        <w:t>Perm+sap,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% Sodium azide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3562FF0D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0.1% saponin (from 5x stock, so 10 mLs</w:t>
      </w:r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r w:rsidR="00F018C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)</w:t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4" w:name="_Toc512345419"/>
      <w:r>
        <w:rPr>
          <w:rFonts w:eastAsia="Times New Roman"/>
        </w:rPr>
        <w:t>Secondary antibodies</w:t>
      </w:r>
      <w:bookmarkEnd w:id="4"/>
    </w:p>
    <w:p w14:paraId="74CF8816" w14:textId="0B4B6BA1" w:rsidR="00DB406E" w:rsidRPr="0013555D" w:rsidRDefault="00DB406E" w:rsidP="0013555D">
      <w:pPr>
        <w:ind w:firstLine="0"/>
      </w:pPr>
      <w:r>
        <w:t xml:space="preserve">Same dilution as primaries. </w:t>
      </w:r>
      <w:r w:rsidR="007F53CD">
        <w:t xml:space="preserve">Do not use chemical dyes, </w:t>
      </w:r>
      <w:r w:rsidR="00AF6442">
        <w:t xml:space="preserve">use </w:t>
      </w:r>
      <w:r w:rsidR="007F53CD">
        <w:t>ALEXA dyes</w:t>
      </w:r>
      <w:r w:rsidR="00341D76">
        <w:t xml:space="preserve"> or fluorescent proteins</w:t>
      </w:r>
      <w:r w:rsidR="007F53CD">
        <w:t xml:space="preserve"> only</w:t>
      </w:r>
      <w:r w:rsidR="00AF6442">
        <w:t xml:space="preserve"> (communication with Klingberg)</w:t>
      </w:r>
      <w:r>
        <w:t>.</w:t>
      </w:r>
    </w:p>
    <w:p w14:paraId="11E47440" w14:textId="345B90FF" w:rsidR="00F572AE" w:rsidRDefault="00553A33" w:rsidP="00F572AE">
      <w:pPr>
        <w:pStyle w:val="Heading1"/>
      </w:pPr>
      <w:bookmarkStart w:id="5" w:name="_Toc512345420"/>
      <w:r>
        <w:t>Sample Collection</w:t>
      </w:r>
      <w:bookmarkEnd w:id="5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vascularture/circle of willis.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: RT 1 hr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138CF925" w:rsidR="002D6C22" w:rsidRDefault="00FF076E" w:rsidP="002D6C22">
      <w:pPr>
        <w:pStyle w:val="Heading1"/>
        <w:rPr>
          <w:rFonts w:eastAsia="Times New Roman"/>
        </w:rPr>
      </w:pPr>
      <w:bookmarkStart w:id="6" w:name="_Toc512345421"/>
      <w:r>
        <w:rPr>
          <w:rFonts w:eastAsia="Times New Roman"/>
        </w:rPr>
        <w:lastRenderedPageBreak/>
        <w:t xml:space="preserve">Dissect and </w:t>
      </w:r>
      <w:r w:rsidR="002D6C22">
        <w:rPr>
          <w:rFonts w:eastAsia="Times New Roman"/>
        </w:rPr>
        <w:t>Embed brain</w:t>
      </w:r>
      <w:bookmarkEnd w:id="6"/>
      <w:r>
        <w:rPr>
          <w:rFonts w:eastAsia="Times New Roman"/>
        </w:rPr>
        <w:t xml:space="preserve"> 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223EB438" w14:textId="5D82DA95" w:rsidR="00FF076E" w:rsidRDefault="00FF076E" w:rsidP="00BF0BBC">
      <w:pPr>
        <w:pStyle w:val="NoSpacing"/>
      </w:pPr>
      <w:r>
        <w:rPr>
          <w:noProof/>
        </w:rPr>
        <w:drawing>
          <wp:inline distT="0" distB="0" distL="0" distR="0" wp14:anchorId="33DC2531" wp14:editId="5B99EED9">
            <wp:extent cx="2846146" cy="1828800"/>
            <wp:effectExtent l="0" t="0" r="0" b="0"/>
            <wp:docPr id="9" name="Picture 9" descr="E:\GITHUB\KamLab\_Experiments\_clearing methods\brainstem diss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_clearing methods\brainstem diss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1" t="13860" r="21807" b="34779"/>
                    <a:stretch/>
                  </pic:blipFill>
                  <pic:spPr bwMode="auto">
                    <a:xfrm>
                      <a:off x="0" y="0"/>
                      <a:ext cx="28461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7" w:name="_Toc512345422"/>
      <w:r>
        <w:lastRenderedPageBreak/>
        <w:t>Immunolabeling</w:t>
      </w:r>
      <w:bookmarkEnd w:id="7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>wash PTwH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PTwH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r w:rsidRPr="009B101C">
              <w:rPr>
                <w:sz w:val="18"/>
                <w:szCs w:val="18"/>
              </w:rPr>
              <w:t>PTwH</w:t>
            </w:r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8" w:name="_Toc512345423"/>
      <w:r>
        <w:lastRenderedPageBreak/>
        <w:t>Clearing tissue</w:t>
      </w:r>
      <w:bookmarkEnd w:id="8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r w:rsidR="003929A8">
        <w:t>immunolableing: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 100% ECi</w:t>
            </w:r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r>
        <w:t xml:space="preserve">Eg.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9" w:name="_Toc512345424"/>
      <w:r>
        <w:t>Tissue check</w:t>
      </w:r>
      <w:bookmarkEnd w:id="9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0" w:name="_Toc512345425"/>
      <w:r>
        <w:t>Troubleshooting</w:t>
      </w:r>
      <w:bookmarkEnd w:id="10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>is too pronounced, the sample was kept for too long in THF, or it got oxidised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1" w:name="_Toc512345426"/>
      <w:r>
        <w:t>Antibodies</w:t>
      </w:r>
      <w:r w:rsidR="007F7BE3">
        <w:t xml:space="preserve"> tested</w:t>
      </w:r>
      <w:bookmarkEnd w:id="11"/>
    </w:p>
    <w:p w14:paraId="0D0698ED" w14:textId="51256D40" w:rsidR="00332535" w:rsidRDefault="00332535" w:rsidP="00CA25EC">
      <w:pPr>
        <w:pStyle w:val="Heading2"/>
      </w:pPr>
      <w:bookmarkStart w:id="12" w:name="_Toc512345427"/>
      <w:r>
        <w:t>Primaries:</w:t>
      </w:r>
      <w:bookmarkEnd w:id="12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>0 uL</w:t>
      </w:r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r w:rsidR="00AF1BDF">
        <w:t>: ???</w:t>
      </w:r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SMA: ???</w:t>
      </w:r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3" w:name="_Toc512345428"/>
      <w:r>
        <w:t>Secondaries</w:t>
      </w:r>
      <w:r w:rsidR="007237E5">
        <w:t>:</w:t>
      </w:r>
      <w:bookmarkEnd w:id="13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ti-Rb AlexaFluor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>0 u</w:t>
      </w:r>
      <w:r w:rsidR="006C5CFE">
        <w:t>L</w:t>
      </w:r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4" w:name="_Toc512345429"/>
      <w:r>
        <w:t>Light Sheet Imaging</w:t>
      </w:r>
      <w:bookmarkEnd w:id="14"/>
    </w:p>
    <w:p w14:paraId="015E4B90" w14:textId="19857BDA" w:rsidR="002409B5" w:rsidRDefault="002409B5" w:rsidP="002409B5">
      <w:pPr>
        <w:pStyle w:val="Heading3"/>
      </w:pPr>
      <w:bookmarkStart w:id="15" w:name="_Toc512345430"/>
      <w:r>
        <w:t>Mount to sample holder</w:t>
      </w:r>
      <w:bookmarkEnd w:id="15"/>
    </w:p>
    <w:p w14:paraId="643204D5" w14:textId="65E77A36" w:rsidR="002409B5" w:rsidRPr="002409B5" w:rsidRDefault="002409B5" w:rsidP="00AF6CD4">
      <w:pPr>
        <w:ind w:firstLine="0"/>
      </w:pPr>
      <w:r>
        <w:t>Use Krazy glue, not locate cyanoacrylate (ECi dissolves this)</w:t>
      </w:r>
    </w:p>
    <w:p w14:paraId="2F0425F3" w14:textId="77777777" w:rsidR="006D2D2F" w:rsidRDefault="00BF0BBC" w:rsidP="006D2D2F">
      <w:pPr>
        <w:pStyle w:val="Heading3"/>
      </w:pPr>
      <w:bookmarkStart w:id="16" w:name="_Toc512345431"/>
      <w:r>
        <w:t xml:space="preserve">Schedule </w:t>
      </w:r>
      <w:r w:rsidR="00D76427">
        <w:t xml:space="preserve">LaVision Ultramicroscope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6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7" w:name="_Toc512345432"/>
      <w:r>
        <w:t>Quantification</w:t>
      </w:r>
      <w:bookmarkEnd w:id="17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>Learn clearmap</w:t>
      </w:r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EF16BF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r w:rsidR="008E6FEF">
        <w:t>Reneir’s cFos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18" w:name="_Toc512345433"/>
      <w:r w:rsidRPr="0003749A">
        <w:lastRenderedPageBreak/>
        <w:t>References</w:t>
      </w:r>
      <w:bookmarkEnd w:id="18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>Fully Automated Evaluation of Total Glomerular Number and Capillary Tuft Size in Nephritic Kidneys Using Lightsheet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iDISCO: a simple, rapid method to immunolabel large tissue samples for volume imaging</w:t>
      </w:r>
      <w:r>
        <w:t>, 2014.</w:t>
      </w:r>
    </w:p>
    <w:p w14:paraId="1BB00312" w14:textId="2697E8ED" w:rsidR="004B55D0" w:rsidRPr="00415167" w:rsidRDefault="00EF16BF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EF16BF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EF16BF" w:rsidP="00AA52E8">
      <w:pPr>
        <w:pStyle w:val="ListParagraph"/>
        <w:numPr>
          <w:ilvl w:val="0"/>
          <w:numId w:val="5"/>
        </w:numPr>
        <w:spacing w:line="240" w:lineRule="auto"/>
      </w:pPr>
      <w:hyperlink r:id="rId24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0CE8817A" w:rsidR="00AA52E8" w:rsidRDefault="0035744C" w:rsidP="0035744C">
      <w:pPr>
        <w:pStyle w:val="ListParagraph"/>
        <w:numPr>
          <w:ilvl w:val="0"/>
          <w:numId w:val="5"/>
        </w:numPr>
        <w:spacing w:line="240" w:lineRule="auto"/>
      </w:pPr>
      <w:r w:rsidRPr="0035744C">
        <w:t>Clearing for Deep Tissue Imaging</w:t>
      </w:r>
      <w:r>
        <w:t>, 2018.</w:t>
      </w:r>
      <w:bookmarkStart w:id="19" w:name="_GoBack"/>
      <w:bookmarkEnd w:id="19"/>
    </w:p>
    <w:p w14:paraId="2917B0DB" w14:textId="77777777" w:rsidR="0035744C" w:rsidRPr="000F507F" w:rsidRDefault="0035744C" w:rsidP="0035744C">
      <w:pPr>
        <w:pStyle w:val="ListParagraph"/>
        <w:numPr>
          <w:ilvl w:val="0"/>
          <w:numId w:val="5"/>
        </w:numPr>
        <w:spacing w:line="240" w:lineRule="auto"/>
      </w:pPr>
    </w:p>
    <w:sectPr w:rsidR="0035744C" w:rsidRPr="000F507F" w:rsidSect="00BA46C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611351" w14:textId="77777777" w:rsidR="00EF16BF" w:rsidRDefault="00EF16BF" w:rsidP="00F77B0C">
      <w:pPr>
        <w:spacing w:after="0" w:line="240" w:lineRule="auto"/>
      </w:pPr>
      <w:r>
        <w:separator/>
      </w:r>
    </w:p>
  </w:endnote>
  <w:endnote w:type="continuationSeparator" w:id="0">
    <w:p w14:paraId="33537B38" w14:textId="77777777" w:rsidR="00EF16BF" w:rsidRDefault="00EF16BF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35744C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35744C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35744C">
      <w:rPr>
        <w:noProof/>
      </w:rPr>
      <w:t>7/18/2018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C9AF61" w14:textId="77777777" w:rsidR="00EF16BF" w:rsidRDefault="00EF16BF" w:rsidP="00F77B0C">
      <w:pPr>
        <w:spacing w:after="0" w:line="240" w:lineRule="auto"/>
      </w:pPr>
      <w:r>
        <w:separator/>
      </w:r>
    </w:p>
  </w:footnote>
  <w:footnote w:type="continuationSeparator" w:id="0">
    <w:p w14:paraId="10C668FE" w14:textId="77777777" w:rsidR="00EF16BF" w:rsidRDefault="00EF16BF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r w:rsidR="00DB5E81">
      <w:rPr>
        <w:b/>
        <w:color w:val="FF0000"/>
        <w:u w:val="single"/>
      </w:rPr>
      <w:t>eDISCO</w:t>
    </w:r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o="http://schemas.microsoft.com/office/mac/office/2008/main" xmlns:mv="urn:schemas-microsoft-com:mac:vml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531C8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37450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5744C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2B29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133B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1AFD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B5348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BF442C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06E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16BF"/>
    <w:rsid w:val="00EF61F0"/>
    <w:rsid w:val="00EF6583"/>
    <w:rsid w:val="00EF749D"/>
    <w:rsid w:val="00F004BF"/>
    <w:rsid w:val="00F00C75"/>
    <w:rsid w:val="00F018CD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76E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34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ature.com/protocolexchange/protocols/3389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5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48AD3AA-C335-495E-82A0-84308F380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275</cp:revision>
  <cp:lastPrinted>2018-05-18T14:41:00Z</cp:lastPrinted>
  <dcterms:created xsi:type="dcterms:W3CDTF">2018-01-14T14:57:00Z</dcterms:created>
  <dcterms:modified xsi:type="dcterms:W3CDTF">2018-07-18T12:59:00Z</dcterms:modified>
</cp:coreProperties>
</file>