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C3290" w14:textId="77777777" w:rsidR="00B26E29" w:rsidRDefault="00B26E29" w:rsidP="009C3C7A">
      <w:pPr>
        <w:pStyle w:val="Cmsor1"/>
        <w:jc w:val="center"/>
      </w:pPr>
      <w:r>
        <w:rPr>
          <w:noProof/>
        </w:rPr>
        <mc:AlternateContent>
          <mc:Choice Requires="wps">
            <w:drawing>
              <wp:inline distT="0" distB="0" distL="0" distR="0" wp14:anchorId="0A424790" wp14:editId="0979CF7E">
                <wp:extent cx="5271715" cy="667909"/>
                <wp:effectExtent l="0" t="0" r="5715" b="0"/>
                <wp:docPr id="822015214" name="Téglalap 1"/>
                <wp:cNvGraphicFramePr/>
                <a:graphic xmlns:a="http://schemas.openxmlformats.org/drawingml/2006/main">
                  <a:graphicData uri="http://schemas.microsoft.com/office/word/2010/wordprocessingShape">
                    <wps:wsp>
                      <wps:cNvSpPr/>
                      <wps:spPr>
                        <a:xfrm>
                          <a:off x="0" y="0"/>
                          <a:ext cx="5271715" cy="667909"/>
                        </a:xfrm>
                        <a:prstGeom prst="rect">
                          <a:avLst/>
                        </a:prstGeom>
                        <a:gradFill>
                          <a:gsLst>
                            <a:gs pos="0">
                              <a:srgbClr val="0CAAE2"/>
                            </a:gs>
                            <a:gs pos="100000">
                              <a:schemeClr val="bg1"/>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D277F3" w14:textId="77777777" w:rsidR="00B26E29" w:rsidRPr="00B26E29" w:rsidRDefault="00B26E29" w:rsidP="009C3C7A">
                            <w:pPr>
                              <w:pStyle w:val="Cm"/>
                              <w:spacing w:after="10"/>
                              <w:rPr>
                                <w:color w:val="000000" w:themeColor="text1"/>
                              </w:rPr>
                            </w:pPr>
                            <w:r w:rsidRPr="00B26E29">
                              <w:rPr>
                                <w:color w:val="000000" w:themeColor="text1"/>
                              </w:rPr>
                              <w:t>Franciaország gazdasága és közlekedése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424790" id="Téglalap 1" o:spid="_x0000_s1026" style="width:415.1pt;height:5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" fillcolor="#0caae2" stroked="f" strokeweight="1pt">
                <v:fill color2="white [3212]" angle="90" focus="100%" type="gradient">
                  <o:fill v:ext="view" type="gradientUnscaled"/>
                </v:fill>
                <v:textbox>
                  <w:txbxContent>
                    <w:p w14:paraId="03D277F3" w14:textId="77777777" w:rsidR="00B26E29" w:rsidRPr="00B26E29" w:rsidRDefault="00B26E29" w:rsidP="009C3C7A">
                      <w:pPr>
                        <w:pStyle w:val="Cm"/>
                        <w:spacing w:after="10"/>
                        <w:rPr>
                          <w:color w:val="000000" w:themeColor="text1"/>
                        </w:rPr>
                      </w:pPr>
                      <w:r w:rsidRPr="00B26E29">
                        <w:rPr>
                          <w:color w:val="000000" w:themeColor="text1"/>
                        </w:rPr>
                        <w:t>Franciaország gazdasága és közlekedése</w:t>
                      </w:r>
                    </w:p>
                  </w:txbxContent>
                </v:textbox>
                <w10:anchorlock/>
              </v:rect>
            </w:pict>
          </mc:Fallback>
        </mc:AlternateContent>
      </w:r>
    </w:p>
    <w:p w14:paraId="51BB8AC7" w14:textId="6AC6B8CB" w:rsidR="00B26E29" w:rsidRPr="00B26E29" w:rsidRDefault="00B26E29" w:rsidP="006734CA">
      <w:pPr>
        <w:pStyle w:val="Cmsor1"/>
      </w:pPr>
      <w:r w:rsidRPr="00B26E29">
        <w:t>Gazdaság</w:t>
      </w:r>
    </w:p>
    <w:tbl>
      <w:tblPr>
        <w:tblStyle w:val="Rcsostblzat"/>
        <w:tblpPr w:leftFromText="141" w:rightFromText="141" w:vertAnchor="text" w:tblpXSpec="right" w:tblpY="1"/>
        <w:tblOverlap w:val="never"/>
        <w:tblW w:w="0" w:type="auto"/>
        <w:jc w:val="right"/>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608"/>
        <w:gridCol w:w="2211"/>
      </w:tblGrid>
      <w:tr w:rsidR="00B26E29" w:rsidRPr="00B26E29" w14:paraId="538CF69F" w14:textId="77777777" w:rsidTr="00357934">
        <w:trPr>
          <w:jc w:val="right"/>
        </w:trPr>
        <w:tc>
          <w:tcPr>
            <w:tcW w:w="4819" w:type="dxa"/>
            <w:gridSpan w:val="2"/>
            <w:shd w:val="clear" w:color="auto" w:fill="0CAAE2"/>
            <w:vAlign w:val="center"/>
          </w:tcPr>
          <w:p w14:paraId="2096C840" w14:textId="1DF251A8" w:rsidR="00B26E29" w:rsidRPr="00B26E29" w:rsidRDefault="00B26E29" w:rsidP="00B26E29">
            <w:pPr>
              <w:spacing w:before="120" w:after="120"/>
              <w:jc w:val="center"/>
              <w:rPr>
                <w:b/>
                <w:bCs/>
              </w:rPr>
            </w:pPr>
            <w:r w:rsidRPr="00B26E29">
              <w:rPr>
                <w:b/>
                <w:bCs/>
              </w:rPr>
              <w:t>Gazdasági mutatók</w:t>
            </w:r>
          </w:p>
        </w:tc>
      </w:tr>
      <w:tr w:rsidR="00357934" w:rsidRPr="00B26E29" w14:paraId="4B1A4FEA" w14:textId="77777777" w:rsidTr="00357934">
        <w:trPr>
          <w:jc w:val="right"/>
        </w:trPr>
        <w:tc>
          <w:tcPr>
            <w:tcW w:w="2608" w:type="dxa"/>
          </w:tcPr>
          <w:p w14:paraId="7F83C6A9" w14:textId="77777777" w:rsidR="00B26E29" w:rsidRPr="00B26E29" w:rsidRDefault="00B26E29" w:rsidP="00B26E29">
            <w:pPr>
              <w:jc w:val="both"/>
            </w:pPr>
            <w:r w:rsidRPr="00B26E29">
              <w:t xml:space="preserve">GDP </w:t>
            </w:r>
            <w:r w:rsidRPr="00357934">
              <w:rPr>
                <w:i/>
                <w:iCs/>
              </w:rPr>
              <w:t>(nominális)</w:t>
            </w:r>
          </w:p>
        </w:tc>
        <w:tc>
          <w:tcPr>
            <w:tcW w:w="2211" w:type="dxa"/>
          </w:tcPr>
          <w:p w14:paraId="7D6948C9" w14:textId="35DF4267" w:rsidR="00B26E29" w:rsidRPr="00B26E29" w:rsidRDefault="00B26E29" w:rsidP="00B26E29">
            <w:pPr>
              <w:jc w:val="both"/>
            </w:pPr>
            <w:r w:rsidRPr="00B26E29">
              <w:t>2,7 billió $ (2019)</w:t>
            </w:r>
          </w:p>
        </w:tc>
      </w:tr>
      <w:tr w:rsidR="00357934" w:rsidRPr="00B26E29" w14:paraId="222AE921" w14:textId="77777777" w:rsidTr="00357934">
        <w:trPr>
          <w:jc w:val="right"/>
        </w:trPr>
        <w:tc>
          <w:tcPr>
            <w:tcW w:w="2608" w:type="dxa"/>
          </w:tcPr>
          <w:p w14:paraId="4B789874" w14:textId="77777777" w:rsidR="00B26E29" w:rsidRPr="00B26E29" w:rsidRDefault="00B26E29" w:rsidP="00B26E29">
            <w:pPr>
              <w:jc w:val="both"/>
            </w:pPr>
            <w:r w:rsidRPr="00B26E29">
              <w:t xml:space="preserve">GDP </w:t>
            </w:r>
            <w:r w:rsidRPr="00357934">
              <w:rPr>
                <w:i/>
                <w:iCs/>
              </w:rPr>
              <w:t>növekedési ráta</w:t>
            </w:r>
          </w:p>
        </w:tc>
        <w:tc>
          <w:tcPr>
            <w:tcW w:w="2211" w:type="dxa"/>
          </w:tcPr>
          <w:p w14:paraId="6C7D68D0" w14:textId="77777777" w:rsidR="00B26E29" w:rsidRPr="00B26E29" w:rsidRDefault="00B26E29" w:rsidP="00B26E29">
            <w:pPr>
              <w:jc w:val="both"/>
            </w:pPr>
            <w:r w:rsidRPr="00B26E29">
              <w:t>-4,3% (2020 Q3)</w:t>
            </w:r>
          </w:p>
        </w:tc>
      </w:tr>
      <w:tr w:rsidR="00357934" w:rsidRPr="00B26E29" w14:paraId="43F30B87" w14:textId="77777777" w:rsidTr="00357934">
        <w:trPr>
          <w:jc w:val="right"/>
        </w:trPr>
        <w:tc>
          <w:tcPr>
            <w:tcW w:w="2608" w:type="dxa"/>
          </w:tcPr>
          <w:p w14:paraId="633E4A50" w14:textId="77777777" w:rsidR="00B26E29" w:rsidRPr="00B26E29" w:rsidRDefault="00B26E29" w:rsidP="00B26E29">
            <w:pPr>
              <w:jc w:val="both"/>
            </w:pPr>
            <w:r w:rsidRPr="00357934">
              <w:rPr>
                <w:i/>
                <w:iCs/>
              </w:rPr>
              <w:t>Egy főre jutó</w:t>
            </w:r>
            <w:r w:rsidRPr="00B26E29">
              <w:t xml:space="preserve"> GDP (PPP)</w:t>
            </w:r>
          </w:p>
        </w:tc>
        <w:tc>
          <w:tcPr>
            <w:tcW w:w="2211" w:type="dxa"/>
          </w:tcPr>
          <w:p w14:paraId="67B5C929" w14:textId="77777777" w:rsidR="00B26E29" w:rsidRPr="00B26E29" w:rsidRDefault="00B26E29" w:rsidP="00B26E29">
            <w:pPr>
              <w:jc w:val="both"/>
            </w:pPr>
            <w:r w:rsidRPr="00B26E29">
              <w:t>49 435 $ (2019)</w:t>
            </w:r>
          </w:p>
        </w:tc>
      </w:tr>
      <w:tr w:rsidR="00357934" w:rsidRPr="00B26E29" w14:paraId="3FCBC35C" w14:textId="77777777" w:rsidTr="00357934">
        <w:trPr>
          <w:jc w:val="right"/>
        </w:trPr>
        <w:tc>
          <w:tcPr>
            <w:tcW w:w="2608" w:type="dxa"/>
          </w:tcPr>
          <w:p w14:paraId="5E0E0784" w14:textId="77777777" w:rsidR="00B26E29" w:rsidRPr="00357934" w:rsidRDefault="00B26E29" w:rsidP="00B26E29">
            <w:pPr>
              <w:jc w:val="both"/>
              <w:rPr>
                <w:i/>
                <w:iCs/>
              </w:rPr>
            </w:pPr>
            <w:r w:rsidRPr="00357934">
              <w:rPr>
                <w:i/>
                <w:iCs/>
              </w:rPr>
              <w:t>Államadósság</w:t>
            </w:r>
          </w:p>
        </w:tc>
        <w:tc>
          <w:tcPr>
            <w:tcW w:w="2211" w:type="dxa"/>
          </w:tcPr>
          <w:p w14:paraId="5B434C1C" w14:textId="77777777" w:rsidR="00B26E29" w:rsidRPr="00B26E29" w:rsidRDefault="00B26E29" w:rsidP="00B26E29">
            <w:pPr>
              <w:jc w:val="both"/>
            </w:pPr>
            <w:r w:rsidRPr="00B26E29">
              <w:t>2,3 billió € (2019)</w:t>
            </w:r>
          </w:p>
        </w:tc>
      </w:tr>
      <w:tr w:rsidR="00357934" w:rsidRPr="00B26E29" w14:paraId="02B135AC" w14:textId="77777777" w:rsidTr="00357934">
        <w:trPr>
          <w:jc w:val="right"/>
        </w:trPr>
        <w:tc>
          <w:tcPr>
            <w:tcW w:w="2608" w:type="dxa"/>
          </w:tcPr>
          <w:p w14:paraId="07127D90" w14:textId="77777777" w:rsidR="00B26E29" w:rsidRPr="00357934" w:rsidRDefault="00B26E29" w:rsidP="00B26E29">
            <w:pPr>
              <w:jc w:val="both"/>
              <w:rPr>
                <w:i/>
                <w:iCs/>
              </w:rPr>
            </w:pPr>
            <w:r w:rsidRPr="00357934">
              <w:rPr>
                <w:i/>
                <w:iCs/>
              </w:rPr>
              <w:t>Államadóssági ráta</w:t>
            </w:r>
          </w:p>
        </w:tc>
        <w:tc>
          <w:tcPr>
            <w:tcW w:w="2211" w:type="dxa"/>
          </w:tcPr>
          <w:p w14:paraId="6B67A852" w14:textId="77777777" w:rsidR="00B26E29" w:rsidRPr="00B26E29" w:rsidRDefault="00B26E29" w:rsidP="00B26E29">
            <w:pPr>
              <w:jc w:val="both"/>
            </w:pPr>
            <w:r w:rsidRPr="00B26E29">
              <w:t>98,1% (2019)</w:t>
            </w:r>
          </w:p>
        </w:tc>
      </w:tr>
      <w:tr w:rsidR="00357934" w:rsidRPr="00B26E29" w14:paraId="77A459CE" w14:textId="77777777" w:rsidTr="00357934">
        <w:trPr>
          <w:jc w:val="right"/>
        </w:trPr>
        <w:tc>
          <w:tcPr>
            <w:tcW w:w="2608" w:type="dxa"/>
          </w:tcPr>
          <w:p w14:paraId="6364BFE7" w14:textId="77777777" w:rsidR="00B26E29" w:rsidRPr="00357934" w:rsidRDefault="00B26E29" w:rsidP="00B26E29">
            <w:pPr>
              <w:jc w:val="both"/>
              <w:rPr>
                <w:i/>
                <w:iCs/>
              </w:rPr>
            </w:pPr>
            <w:r w:rsidRPr="00357934">
              <w:rPr>
                <w:i/>
                <w:iCs/>
              </w:rPr>
              <w:t>Infláció</w:t>
            </w:r>
          </w:p>
        </w:tc>
        <w:tc>
          <w:tcPr>
            <w:tcW w:w="2211" w:type="dxa"/>
          </w:tcPr>
          <w:p w14:paraId="2B22F882" w14:textId="77777777" w:rsidR="00B26E29" w:rsidRPr="00B26E29" w:rsidRDefault="00B26E29" w:rsidP="00B26E29">
            <w:pPr>
              <w:jc w:val="both"/>
            </w:pPr>
            <w:r w:rsidRPr="00B26E29">
              <w:t>0% (2020. október)</w:t>
            </w:r>
          </w:p>
        </w:tc>
      </w:tr>
      <w:tr w:rsidR="00357934" w:rsidRPr="00B26E29" w14:paraId="030200C5" w14:textId="77777777" w:rsidTr="00357934">
        <w:trPr>
          <w:jc w:val="right"/>
        </w:trPr>
        <w:tc>
          <w:tcPr>
            <w:tcW w:w="2608" w:type="dxa"/>
          </w:tcPr>
          <w:p w14:paraId="77163815" w14:textId="77777777" w:rsidR="00B26E29" w:rsidRPr="00357934" w:rsidRDefault="00B26E29" w:rsidP="00B26E29">
            <w:pPr>
              <w:jc w:val="both"/>
              <w:rPr>
                <w:i/>
                <w:iCs/>
              </w:rPr>
            </w:pPr>
            <w:r w:rsidRPr="00357934">
              <w:rPr>
                <w:i/>
                <w:iCs/>
              </w:rPr>
              <w:t>Foglalkoztatottsági ráta</w:t>
            </w:r>
          </w:p>
        </w:tc>
        <w:tc>
          <w:tcPr>
            <w:tcW w:w="2211" w:type="dxa"/>
          </w:tcPr>
          <w:p w14:paraId="2A726E66" w14:textId="77777777" w:rsidR="00B26E29" w:rsidRPr="00B26E29" w:rsidRDefault="00B26E29" w:rsidP="00B26E29">
            <w:pPr>
              <w:jc w:val="both"/>
            </w:pPr>
            <w:r w:rsidRPr="00B26E29">
              <w:t>65,1% (2020 Q3)</w:t>
            </w:r>
          </w:p>
        </w:tc>
      </w:tr>
      <w:tr w:rsidR="00357934" w:rsidRPr="00B26E29" w14:paraId="236CD5C9" w14:textId="77777777" w:rsidTr="00357934">
        <w:trPr>
          <w:jc w:val="right"/>
        </w:trPr>
        <w:tc>
          <w:tcPr>
            <w:tcW w:w="2608" w:type="dxa"/>
          </w:tcPr>
          <w:p w14:paraId="7EE44481" w14:textId="77777777" w:rsidR="00B26E29" w:rsidRPr="00357934" w:rsidRDefault="00B26E29" w:rsidP="00B26E29">
            <w:pPr>
              <w:jc w:val="both"/>
              <w:rPr>
                <w:i/>
                <w:iCs/>
              </w:rPr>
            </w:pPr>
            <w:r w:rsidRPr="00357934">
              <w:rPr>
                <w:i/>
                <w:iCs/>
              </w:rPr>
              <w:t>Munkanélküliségi ráta</w:t>
            </w:r>
          </w:p>
        </w:tc>
        <w:tc>
          <w:tcPr>
            <w:tcW w:w="2211" w:type="dxa"/>
          </w:tcPr>
          <w:p w14:paraId="1624F8E3" w14:textId="77777777" w:rsidR="00B26E29" w:rsidRPr="00B26E29" w:rsidRDefault="00B26E29" w:rsidP="00B26E29">
            <w:pPr>
              <w:jc w:val="both"/>
            </w:pPr>
            <w:r w:rsidRPr="00B26E29">
              <w:t>9% (2020 Q3)</w:t>
            </w:r>
          </w:p>
        </w:tc>
      </w:tr>
      <w:tr w:rsidR="00357934" w:rsidRPr="00B26E29" w14:paraId="3AA50320" w14:textId="77777777" w:rsidTr="00357934">
        <w:trPr>
          <w:jc w:val="right"/>
        </w:trPr>
        <w:tc>
          <w:tcPr>
            <w:tcW w:w="2608" w:type="dxa"/>
          </w:tcPr>
          <w:p w14:paraId="21525823" w14:textId="77777777" w:rsidR="00B26E29" w:rsidRPr="00357934" w:rsidRDefault="00B26E29" w:rsidP="00B26E29">
            <w:pPr>
              <w:jc w:val="both"/>
              <w:rPr>
                <w:i/>
                <w:iCs/>
              </w:rPr>
            </w:pPr>
            <w:r w:rsidRPr="00357934">
              <w:rPr>
                <w:i/>
                <w:iCs/>
              </w:rPr>
              <w:t>Minimálbér</w:t>
            </w:r>
          </w:p>
        </w:tc>
        <w:tc>
          <w:tcPr>
            <w:tcW w:w="2211" w:type="dxa"/>
          </w:tcPr>
          <w:p w14:paraId="6F0C0191" w14:textId="77777777" w:rsidR="00B26E29" w:rsidRPr="00B26E29" w:rsidRDefault="00B26E29" w:rsidP="00B26E29">
            <w:pPr>
              <w:jc w:val="both"/>
            </w:pPr>
            <w:r w:rsidRPr="00B26E29">
              <w:t>1 539 € (2020)</w:t>
            </w:r>
          </w:p>
        </w:tc>
      </w:tr>
    </w:tbl>
    <w:p w14:paraId="10C54112" w14:textId="77777777" w:rsidR="00B26E29" w:rsidRPr="00B26E29" w:rsidRDefault="00B26E29" w:rsidP="00B26E29">
      <w:pPr>
        <w:jc w:val="both"/>
      </w:pPr>
      <w:r w:rsidRPr="00B26E29">
        <w:t>Az ország a fejlett országok sorába tartozik, tagja a G8-nak, és 2005-ben a Föld hatodik legnagyobb gazdaságát tudhatta magának, 2118 milliárd dolláros GDP-vel. Mindazonáltal az egy főre jutó GDP szerinti európai rangsorolásban csak a 9-edik volt 25-ből az Eurostat szerint, és világszinten a 17-edik.</w:t>
      </w:r>
    </w:p>
    <w:p w14:paraId="7A5DF91F" w14:textId="77777777" w:rsidR="00B26E29" w:rsidRPr="00B26E29" w:rsidRDefault="00B26E29" w:rsidP="006734CA">
      <w:pPr>
        <w:pStyle w:val="Cmsor2"/>
      </w:pPr>
      <w:r w:rsidRPr="00B26E29">
        <w:t>Gazdasági ágazatok</w:t>
      </w:r>
    </w:p>
    <w:p w14:paraId="022B1333" w14:textId="77777777" w:rsidR="00B26E29" w:rsidRPr="00B26E29" w:rsidRDefault="00B26E29" w:rsidP="00B26E29">
      <w:pPr>
        <w:jc w:val="both"/>
      </w:pPr>
      <w:r w:rsidRPr="00B26E29">
        <w:t>Az ország ásványkincsekben gazdag. Elzász-</w:t>
      </w:r>
      <w:proofErr w:type="spellStart"/>
      <w:r w:rsidRPr="00B26E29">
        <w:t>Lotharingiában</w:t>
      </w:r>
      <w:proofErr w:type="spellEnd"/>
      <w:r w:rsidRPr="00B26E29">
        <w:t xml:space="preserve"> kősó, kálisó, feketekőszén, barnakőszén, egyéb lelőhelyeken rézérc, ezüstérc, bauxit, vasérc és kősó fordul elő.</w:t>
      </w:r>
    </w:p>
    <w:p w14:paraId="498C4599" w14:textId="77777777" w:rsidR="00B26E29" w:rsidRPr="00B26E29" w:rsidRDefault="00B26E29" w:rsidP="00B26E29">
      <w:pPr>
        <w:jc w:val="both"/>
      </w:pPr>
      <w:r w:rsidRPr="00B26E29">
        <w:t>Az országra a gépgyártás, azon belül a személygépkocsi, a hajó, a repülő, a vonat és az elektromos gépek gyártása jellemző. Ezeknek főbb központjai:</w:t>
      </w:r>
    </w:p>
    <w:p w14:paraId="2556CFA9" w14:textId="77777777" w:rsidR="00B26E29" w:rsidRPr="00357934" w:rsidRDefault="00B26E29" w:rsidP="009C3C7A">
      <w:pPr>
        <w:pStyle w:val="Listaszerbekezds"/>
        <w:ind w:left="308" w:hanging="283"/>
      </w:pPr>
      <w:r w:rsidRPr="00357934">
        <w:t xml:space="preserve">személygépkocsi-gyártás: Párizs, </w:t>
      </w:r>
      <w:proofErr w:type="spellStart"/>
      <w:r w:rsidRPr="00357934">
        <w:t>Rennes</w:t>
      </w:r>
      <w:proofErr w:type="spellEnd"/>
      <w:r w:rsidRPr="00357934">
        <w:t>, Lyon és Lille</w:t>
      </w:r>
    </w:p>
    <w:p w14:paraId="0E693F0B" w14:textId="77777777" w:rsidR="00B26E29" w:rsidRPr="00357934" w:rsidRDefault="00B26E29" w:rsidP="009C3C7A">
      <w:pPr>
        <w:pStyle w:val="Listaszerbekezds"/>
        <w:ind w:left="308" w:hanging="283"/>
      </w:pPr>
      <w:r w:rsidRPr="00357934">
        <w:t>vonatgyártás: Párizs</w:t>
      </w:r>
    </w:p>
    <w:p w14:paraId="76A448C2" w14:textId="77777777" w:rsidR="00B26E29" w:rsidRPr="00357934" w:rsidRDefault="00B26E29" w:rsidP="009C3C7A">
      <w:pPr>
        <w:pStyle w:val="Listaszerbekezds"/>
        <w:ind w:left="308" w:hanging="283"/>
      </w:pPr>
      <w:r w:rsidRPr="00357934">
        <w:t xml:space="preserve">hajógyártás: Lille, Nantes, Marseille, Le Havre, </w:t>
      </w:r>
      <w:proofErr w:type="spellStart"/>
      <w:r w:rsidRPr="00357934">
        <w:t>Brest</w:t>
      </w:r>
      <w:proofErr w:type="spellEnd"/>
    </w:p>
    <w:p w14:paraId="17882A6C" w14:textId="77777777" w:rsidR="00B26E29" w:rsidRPr="00357934" w:rsidRDefault="00B26E29" w:rsidP="009C3C7A">
      <w:pPr>
        <w:pStyle w:val="Listaszerbekezds"/>
        <w:ind w:left="308" w:hanging="283"/>
      </w:pPr>
      <w:r w:rsidRPr="00357934">
        <w:t xml:space="preserve">elektromos gépek gyártása: Párizs, </w:t>
      </w:r>
      <w:proofErr w:type="spellStart"/>
      <w:r w:rsidRPr="00357934">
        <w:t>Besançon</w:t>
      </w:r>
      <w:proofErr w:type="spellEnd"/>
      <w:r w:rsidRPr="00357934">
        <w:t xml:space="preserve">, </w:t>
      </w:r>
      <w:proofErr w:type="spellStart"/>
      <w:r w:rsidRPr="00357934">
        <w:t>Metz</w:t>
      </w:r>
      <w:proofErr w:type="spellEnd"/>
      <w:r w:rsidRPr="00357934">
        <w:t>, Lyon</w:t>
      </w:r>
    </w:p>
    <w:p w14:paraId="5DD03318" w14:textId="77777777" w:rsidR="00B26E29" w:rsidRPr="00357934" w:rsidRDefault="00B26E29" w:rsidP="009C3C7A">
      <w:pPr>
        <w:pStyle w:val="Listaszerbekezds"/>
        <w:ind w:left="308" w:hanging="283"/>
      </w:pPr>
      <w:r w:rsidRPr="00357934">
        <w:t xml:space="preserve">egyéb gépipar (mezőgazdasági gépek stb.): </w:t>
      </w:r>
      <w:proofErr w:type="spellStart"/>
      <w:r w:rsidRPr="00357934">
        <w:t>Rennes</w:t>
      </w:r>
      <w:proofErr w:type="spellEnd"/>
      <w:r w:rsidRPr="00357934">
        <w:t>, Párizs, Lille, Strasbourg, Nancy, Lyon</w:t>
      </w:r>
    </w:p>
    <w:p w14:paraId="174512F6" w14:textId="77777777" w:rsidR="00B26E29" w:rsidRPr="00B26E29" w:rsidRDefault="00B26E29" w:rsidP="00B26E29">
      <w:pPr>
        <w:jc w:val="both"/>
      </w:pPr>
      <w:r w:rsidRPr="00B26E29">
        <w:t xml:space="preserve">Vegyipar is jellemzi az országot, legjobban a kőolaj-feldolgozás számít, melynek központjai: Nantes, Bordeaux, Marseille és Dunkerque, gyógyszergyártás (Párizs), és még egyéb vegyipari ágazatok (műtrágyagyártás) melynek központjai Bordeaux, Marseille, Párizs, Strasbourg, </w:t>
      </w:r>
      <w:proofErr w:type="spellStart"/>
      <w:r w:rsidRPr="00B26E29">
        <w:t>Rennes</w:t>
      </w:r>
      <w:proofErr w:type="spellEnd"/>
      <w:r w:rsidRPr="00B26E29">
        <w:t>, Nantes és Lyon.</w:t>
      </w:r>
    </w:p>
    <w:p w14:paraId="4FF528C7" w14:textId="77777777" w:rsidR="00B26E29" w:rsidRPr="00B26E29" w:rsidRDefault="00B26E29" w:rsidP="00B26E29">
      <w:pPr>
        <w:jc w:val="both"/>
      </w:pPr>
      <w:r w:rsidRPr="00B26E29">
        <w:t xml:space="preserve">Nehézipari központok a </w:t>
      </w:r>
      <w:proofErr w:type="spellStart"/>
      <w:r w:rsidRPr="00B26E29">
        <w:t>Rhône</w:t>
      </w:r>
      <w:proofErr w:type="spellEnd"/>
      <w:r w:rsidRPr="00B26E29">
        <w:t xml:space="preserve">-völgyben és legészakabbra fordulnak elő. Itt a vas- és acélkohászat jellemző, központjai: Lille, Grenoble és Marseille, színesfémkohászat Nantes és Grenoble városokban fordul elő. Óragyártás </w:t>
      </w:r>
      <w:proofErr w:type="spellStart"/>
      <w:r w:rsidRPr="00B26E29">
        <w:t>Besançonban</w:t>
      </w:r>
      <w:proofErr w:type="spellEnd"/>
      <w:r w:rsidRPr="00B26E29">
        <w:t xml:space="preserve">, atomipar </w:t>
      </w:r>
      <w:proofErr w:type="spellStart"/>
      <w:r w:rsidRPr="00B26E29">
        <w:t>Cherbourgban</w:t>
      </w:r>
      <w:proofErr w:type="spellEnd"/>
      <w:r w:rsidRPr="00B26E29">
        <w:t xml:space="preserve"> van.</w:t>
      </w:r>
    </w:p>
    <w:p w14:paraId="0B2A4A17" w14:textId="77777777" w:rsidR="00B26E29" w:rsidRPr="00B26E29" w:rsidRDefault="00B26E29" w:rsidP="00B26E29">
      <w:pPr>
        <w:jc w:val="both"/>
      </w:pPr>
      <w:r w:rsidRPr="00B26E29">
        <w:t xml:space="preserve">Az országban elterjedt a könnyűipar. A textilipar központjai: Párizs, Bordeaux, Lille, Nancy, </w:t>
      </w:r>
      <w:proofErr w:type="spellStart"/>
      <w:r w:rsidRPr="00B26E29">
        <w:t>Dijon</w:t>
      </w:r>
      <w:proofErr w:type="spellEnd"/>
      <w:r w:rsidRPr="00B26E29">
        <w:t xml:space="preserve"> és Strasbourg. Papíripar </w:t>
      </w:r>
      <w:proofErr w:type="spellStart"/>
      <w:r w:rsidRPr="00B26E29">
        <w:t>Rouenben</w:t>
      </w:r>
      <w:proofErr w:type="spellEnd"/>
      <w:r w:rsidRPr="00B26E29">
        <w:t xml:space="preserve"> és Gerebenben, faipar Nancyben, nyomdaipar Párizsban, bőripar pedig Grenoble-ban fordul elő. Egyéb könnyűipari ágazatok megtalálhatók Limoges, Párizs és </w:t>
      </w:r>
      <w:proofErr w:type="spellStart"/>
      <w:r w:rsidRPr="00B26E29">
        <w:t>Dijon</w:t>
      </w:r>
      <w:proofErr w:type="spellEnd"/>
      <w:r w:rsidRPr="00B26E29">
        <w:t xml:space="preserve"> városokban.</w:t>
      </w:r>
    </w:p>
    <w:p w14:paraId="70690821" w14:textId="77777777" w:rsidR="00B26E29" w:rsidRPr="00B26E29" w:rsidRDefault="00B26E29" w:rsidP="00B26E29">
      <w:pPr>
        <w:jc w:val="both"/>
      </w:pPr>
      <w:r w:rsidRPr="00B26E29">
        <w:t xml:space="preserve">Élelmiszeripar főbb központjai: Le Havre, Párizs, Toulouse, </w:t>
      </w:r>
      <w:proofErr w:type="spellStart"/>
      <w:r w:rsidRPr="00B26E29">
        <w:t>Montpellier</w:t>
      </w:r>
      <w:proofErr w:type="spellEnd"/>
      <w:r w:rsidRPr="00B26E29">
        <w:t xml:space="preserve">, Marseille, Nancy, Strasbourg, Orléans, Tours és </w:t>
      </w:r>
      <w:proofErr w:type="spellStart"/>
      <w:r w:rsidRPr="00B26E29">
        <w:t>Rennes</w:t>
      </w:r>
      <w:proofErr w:type="spellEnd"/>
      <w:r w:rsidRPr="00B26E29">
        <w:t xml:space="preserve">. Borászat Reimsben és </w:t>
      </w:r>
      <w:proofErr w:type="spellStart"/>
      <w:r w:rsidRPr="00B26E29">
        <w:t>Bordeauxban</w:t>
      </w:r>
      <w:proofErr w:type="spellEnd"/>
      <w:r w:rsidRPr="00B26E29">
        <w:t xml:space="preserve"> fordul elő.</w:t>
      </w:r>
    </w:p>
    <w:p w14:paraId="0869C78A" w14:textId="77777777" w:rsidR="00B26E29" w:rsidRPr="00B26E29" w:rsidRDefault="00B26E29" w:rsidP="006734CA">
      <w:pPr>
        <w:pStyle w:val="Cmsor2"/>
      </w:pPr>
      <w:r w:rsidRPr="00B26E29">
        <w:lastRenderedPageBreak/>
        <w:t>Energiatermelés</w:t>
      </w:r>
    </w:p>
    <w:p w14:paraId="5D189BD3" w14:textId="77777777" w:rsidR="00B26E29" w:rsidRPr="00B26E29" w:rsidRDefault="00B26E29" w:rsidP="00B26E29">
      <w:pPr>
        <w:jc w:val="both"/>
      </w:pPr>
      <w:r w:rsidRPr="00B26E29">
        <w:t>Franciaország a világ második legnagyobb atomenergia-termelője, az Amerikai Egyesült Államok után. A teljes áramtermelés megoszlása %-ban:</w:t>
      </w:r>
    </w:p>
    <w:p w14:paraId="141ECB51" w14:textId="77777777" w:rsidR="00B26E29" w:rsidRPr="00B26E29" w:rsidRDefault="00B26E29" w:rsidP="009C3C7A">
      <w:pPr>
        <w:pStyle w:val="Listaszerbekezds"/>
        <w:ind w:left="426"/>
      </w:pPr>
      <w:r w:rsidRPr="00B26E29">
        <w:t>Nukleáris energia:</w:t>
      </w:r>
      <w:r w:rsidRPr="00B26E29">
        <w:tab/>
        <w:t>85%</w:t>
      </w:r>
    </w:p>
    <w:p w14:paraId="7C6A97D9" w14:textId="77777777" w:rsidR="00B26E29" w:rsidRPr="00B26E29" w:rsidRDefault="00B26E29" w:rsidP="009C3C7A">
      <w:pPr>
        <w:pStyle w:val="Listaszerbekezds"/>
        <w:ind w:left="426"/>
      </w:pPr>
      <w:r w:rsidRPr="00B26E29">
        <w:t>Megújuló energiaforrások:</w:t>
      </w:r>
      <w:r w:rsidRPr="00B26E29">
        <w:tab/>
        <w:t>14%</w:t>
      </w:r>
    </w:p>
    <w:p w14:paraId="20504D3B" w14:textId="77777777" w:rsidR="00B26E29" w:rsidRDefault="00B26E29" w:rsidP="009C3C7A">
      <w:pPr>
        <w:pStyle w:val="Listaszerbekezds"/>
        <w:ind w:left="426"/>
      </w:pPr>
      <w:r w:rsidRPr="00B26E29">
        <w:t>Gázolaj és földgáz:</w:t>
      </w:r>
      <w:r w:rsidRPr="00B26E29">
        <w:tab/>
        <w:t>1%</w:t>
      </w:r>
    </w:p>
    <w:p w14:paraId="43AF8B67" w14:textId="77777777" w:rsidR="00B26E29" w:rsidRPr="00B26E29" w:rsidRDefault="00B26E29" w:rsidP="006734CA">
      <w:pPr>
        <w:pStyle w:val="Cmsor2"/>
      </w:pPr>
      <w:r w:rsidRPr="00B26E29">
        <w:t>Gazdasági adatok (1980 óta)</w:t>
      </w:r>
    </w:p>
    <w:p w14:paraId="1A4033FA" w14:textId="162EAF49" w:rsidR="00357934" w:rsidRPr="00357934" w:rsidRDefault="00357934" w:rsidP="00E12C7F">
      <w:pPr>
        <w:pStyle w:val="Nincstrkz"/>
        <w:tabs>
          <w:tab w:val="decimal" w:pos="2268"/>
          <w:tab w:val="decimal" w:pos="4678"/>
          <w:tab w:val="decimal" w:pos="6521"/>
          <w:tab w:val="decimal" w:pos="8789"/>
        </w:tabs>
        <w:rPr>
          <w:b/>
          <w:bCs/>
        </w:rPr>
      </w:pPr>
      <w:r w:rsidRPr="00357934">
        <w:rPr>
          <w:b/>
          <w:bCs/>
        </w:rPr>
        <w:t>Év</w:t>
      </w:r>
      <w:r w:rsidRPr="00357934">
        <w:rPr>
          <w:b/>
          <w:bCs/>
        </w:rPr>
        <w:tab/>
      </w:r>
      <w:r w:rsidRPr="00357934">
        <w:rPr>
          <w:b/>
          <w:bCs/>
        </w:rPr>
        <w:t>GDP</w:t>
      </w:r>
      <w:r w:rsidRPr="00357934">
        <w:rPr>
          <w:b/>
          <w:bCs/>
        </w:rPr>
        <w:tab/>
      </w:r>
      <w:proofErr w:type="spellStart"/>
      <w:r w:rsidRPr="00357934">
        <w:rPr>
          <w:b/>
          <w:bCs/>
        </w:rPr>
        <w:t>GDP</w:t>
      </w:r>
      <w:proofErr w:type="spellEnd"/>
      <w:r w:rsidRPr="00357934">
        <w:rPr>
          <w:b/>
          <w:bCs/>
        </w:rPr>
        <w:t xml:space="preserve"> növekedés</w:t>
      </w:r>
      <w:r w:rsidRPr="00357934">
        <w:rPr>
          <w:b/>
          <w:bCs/>
        </w:rPr>
        <w:tab/>
      </w:r>
      <w:r w:rsidRPr="00357934">
        <w:rPr>
          <w:b/>
          <w:bCs/>
        </w:rPr>
        <w:t>Infláció</w:t>
      </w:r>
      <w:r w:rsidRPr="00357934">
        <w:rPr>
          <w:b/>
          <w:bCs/>
        </w:rPr>
        <w:tab/>
      </w:r>
      <w:r w:rsidRPr="00357934">
        <w:rPr>
          <w:b/>
          <w:bCs/>
        </w:rPr>
        <w:t>Költs. egy.</w:t>
      </w:r>
      <w:r w:rsidR="009C3C7A">
        <w:rPr>
          <w:rStyle w:val="Lbjegyzet-hivatkozs"/>
          <w:b/>
          <w:bCs/>
        </w:rPr>
        <w:footnoteReference w:id="1"/>
      </w:r>
    </w:p>
    <w:p w14:paraId="2C16B618" w14:textId="09E42812" w:rsidR="00357934" w:rsidRPr="00357934" w:rsidRDefault="006734CA" w:rsidP="00E12C7F">
      <w:pPr>
        <w:pStyle w:val="Nincstrkz"/>
        <w:tabs>
          <w:tab w:val="decimal" w:pos="2268"/>
          <w:tab w:val="decimal" w:pos="4678"/>
          <w:tab w:val="decimal" w:pos="6521"/>
          <w:tab w:val="decimal" w:pos="8789"/>
        </w:tabs>
        <w:rPr>
          <w:i/>
          <w:iCs/>
        </w:rPr>
      </w:pPr>
      <w:r>
        <w:rPr>
          <w:i/>
          <w:iCs/>
        </w:rPr>
        <w:tab/>
      </w:r>
      <w:r w:rsidR="00357934" w:rsidRPr="00357934">
        <w:rPr>
          <w:i/>
          <w:iCs/>
        </w:rPr>
        <w:t>milliárd euróban</w:t>
      </w:r>
      <w:r w:rsidR="00357934" w:rsidRPr="00357934">
        <w:rPr>
          <w:i/>
          <w:iCs/>
        </w:rPr>
        <w:tab/>
      </w:r>
      <w:r w:rsidR="00357934" w:rsidRPr="00357934">
        <w:rPr>
          <w:i/>
          <w:iCs/>
        </w:rPr>
        <w:t>reál</w:t>
      </w:r>
      <w:r w:rsidR="00357934" w:rsidRPr="00357934">
        <w:rPr>
          <w:i/>
          <w:iCs/>
        </w:rPr>
        <w:tab/>
      </w:r>
      <w:r w:rsidR="00357934" w:rsidRPr="00357934">
        <w:rPr>
          <w:i/>
          <w:iCs/>
        </w:rPr>
        <w:t>százalékban</w:t>
      </w:r>
      <w:r w:rsidR="00357934" w:rsidRPr="00357934">
        <w:rPr>
          <w:i/>
          <w:iCs/>
        </w:rPr>
        <w:tab/>
      </w:r>
      <w:r w:rsidR="00357934" w:rsidRPr="00357934">
        <w:rPr>
          <w:i/>
          <w:iCs/>
        </w:rPr>
        <w:t>a GDP %-ban</w:t>
      </w:r>
    </w:p>
    <w:p w14:paraId="7E547A00" w14:textId="77777777" w:rsidR="00357934" w:rsidRPr="00357934" w:rsidRDefault="00357934" w:rsidP="00E12C7F">
      <w:pPr>
        <w:pStyle w:val="Nincstrkz"/>
        <w:tabs>
          <w:tab w:val="decimal" w:pos="2268"/>
          <w:tab w:val="decimal" w:pos="4678"/>
          <w:tab w:val="decimal" w:pos="6521"/>
          <w:tab w:val="decimal" w:pos="8789"/>
        </w:tabs>
        <w:rPr>
          <w:color w:val="ED1C24"/>
        </w:rPr>
      </w:pPr>
      <w:r w:rsidRPr="00357934">
        <w:t>1980</w:t>
      </w:r>
      <w:r w:rsidRPr="00357934">
        <w:tab/>
      </w:r>
      <w:r w:rsidRPr="00357934">
        <w:t>453,2</w:t>
      </w:r>
      <w:r w:rsidRPr="00357934">
        <w:tab/>
      </w:r>
      <w:r w:rsidRPr="00357934">
        <w:rPr>
          <w:color w:val="02AD4C"/>
        </w:rPr>
        <w:sym w:font="Wingdings 3" w:char="F070"/>
      </w:r>
      <w:r w:rsidRPr="00357934">
        <w:t>1,8%</w:t>
      </w:r>
      <w:r w:rsidRPr="00357934">
        <w:tab/>
      </w:r>
      <w:r w:rsidRPr="00357934">
        <w:t>13%</w:t>
      </w:r>
      <w:r w:rsidRPr="00357934">
        <w:tab/>
      </w:r>
      <w:r w:rsidRPr="00357934">
        <w:rPr>
          <w:color w:val="ED1C24"/>
        </w:rPr>
        <w:sym w:font="Wingdings 3" w:char="F071"/>
      </w:r>
      <w:r w:rsidRPr="00357934">
        <w:t>−0,4%</w:t>
      </w:r>
    </w:p>
    <w:p w14:paraId="09D9568D" w14:textId="77777777" w:rsidR="00357934" w:rsidRPr="00357934" w:rsidRDefault="00357934" w:rsidP="00E12C7F">
      <w:pPr>
        <w:pStyle w:val="Nincstrkz"/>
        <w:tabs>
          <w:tab w:val="decimal" w:pos="2268"/>
          <w:tab w:val="decimal" w:pos="4678"/>
          <w:tab w:val="decimal" w:pos="6521"/>
          <w:tab w:val="decimal" w:pos="8789"/>
        </w:tabs>
      </w:pPr>
      <w:r w:rsidRPr="00357934">
        <w:t>1985</w:t>
      </w:r>
      <w:r w:rsidRPr="00357934">
        <w:tab/>
      </w:r>
      <w:r w:rsidRPr="00357934">
        <w:rPr>
          <w:color w:val="02AD4C"/>
        </w:rPr>
        <w:sym w:font="Wingdings 3" w:char="F070"/>
      </w:r>
      <w:r w:rsidRPr="00357934">
        <w:t>760,5</w:t>
      </w:r>
      <w:r w:rsidRPr="00357934">
        <w:tab/>
      </w:r>
      <w:r w:rsidRPr="00357934">
        <w:rPr>
          <w:color w:val="02AD4C"/>
        </w:rPr>
        <w:sym w:font="Wingdings 3" w:char="F070"/>
      </w:r>
      <w:r w:rsidRPr="00357934">
        <w:t>1,6%</w:t>
      </w:r>
      <w:r w:rsidRPr="00357934">
        <w:tab/>
      </w:r>
      <w:r w:rsidRPr="00357934">
        <w:t>5,8%</w:t>
      </w:r>
      <w:r w:rsidRPr="00357934">
        <w:tab/>
      </w:r>
      <w:r w:rsidRPr="00357934">
        <w:rPr>
          <w:color w:val="ED1C24"/>
        </w:rPr>
        <w:sym w:font="Wingdings 3" w:char="F071"/>
      </w:r>
      <w:r w:rsidRPr="00357934">
        <w:t>−2,9%</w:t>
      </w:r>
    </w:p>
    <w:p w14:paraId="71DA1F22" w14:textId="77777777" w:rsidR="00357934" w:rsidRPr="00357934" w:rsidRDefault="00357934" w:rsidP="00E12C7F">
      <w:pPr>
        <w:pStyle w:val="Nincstrkz"/>
        <w:tabs>
          <w:tab w:val="decimal" w:pos="2268"/>
          <w:tab w:val="decimal" w:pos="4678"/>
          <w:tab w:val="decimal" w:pos="6521"/>
          <w:tab w:val="decimal" w:pos="8789"/>
        </w:tabs>
      </w:pPr>
      <w:r w:rsidRPr="00357934">
        <w:t>1990</w:t>
      </w:r>
      <w:r w:rsidRPr="00357934">
        <w:tab/>
      </w:r>
      <w:r w:rsidRPr="00357934">
        <w:rPr>
          <w:color w:val="02AD4C"/>
        </w:rPr>
        <w:sym w:font="Wingdings 3" w:char="F070"/>
      </w:r>
      <w:r w:rsidRPr="00357934">
        <w:t>1 058,6</w:t>
      </w:r>
      <w:r w:rsidRPr="00357934">
        <w:tab/>
      </w:r>
      <w:r w:rsidRPr="00357934">
        <w:rPr>
          <w:color w:val="02AD4C"/>
        </w:rPr>
        <w:sym w:font="Wingdings 3" w:char="F070"/>
      </w:r>
      <w:r w:rsidRPr="00357934">
        <w:t>2,9%</w:t>
      </w:r>
      <w:r w:rsidRPr="00357934">
        <w:tab/>
      </w:r>
      <w:r w:rsidRPr="00357934">
        <w:rPr>
          <w:color w:val="02AD4C"/>
        </w:rPr>
        <w:sym w:font="Wingdings 3" w:char="F070"/>
      </w:r>
      <w:r w:rsidRPr="00357934">
        <w:t>0,3%</w:t>
      </w:r>
      <w:r w:rsidRPr="00357934">
        <w:tab/>
      </w:r>
      <w:r w:rsidRPr="00357934">
        <w:rPr>
          <w:color w:val="ED1C24"/>
        </w:rPr>
        <w:sym w:font="Wingdings 3" w:char="F071"/>
      </w:r>
      <w:r w:rsidRPr="00357934">
        <w:t>−2,4%</w:t>
      </w:r>
    </w:p>
    <w:p w14:paraId="57E9593B" w14:textId="77777777" w:rsidR="00357934" w:rsidRPr="00357934" w:rsidRDefault="00357934" w:rsidP="00E12C7F">
      <w:pPr>
        <w:pStyle w:val="Nincstrkz"/>
        <w:tabs>
          <w:tab w:val="decimal" w:pos="2268"/>
          <w:tab w:val="decimal" w:pos="4678"/>
          <w:tab w:val="decimal" w:pos="6521"/>
          <w:tab w:val="decimal" w:pos="8789"/>
        </w:tabs>
      </w:pPr>
      <w:r w:rsidRPr="00357934">
        <w:t>1995</w:t>
      </w:r>
      <w:r w:rsidRPr="00357934">
        <w:tab/>
      </w:r>
      <w:r w:rsidRPr="00357934">
        <w:rPr>
          <w:color w:val="02AD4C"/>
        </w:rPr>
        <w:sym w:font="Wingdings 3" w:char="F070"/>
      </w:r>
      <w:r w:rsidRPr="00357934">
        <w:t>1 225,0</w:t>
      </w:r>
      <w:r w:rsidRPr="00357934">
        <w:tab/>
      </w:r>
      <w:r w:rsidRPr="00357934">
        <w:rPr>
          <w:color w:val="02AD4C"/>
        </w:rPr>
        <w:sym w:font="Wingdings 3" w:char="F070"/>
      </w:r>
      <w:r w:rsidRPr="00357934">
        <w:t>2,1%</w:t>
      </w:r>
      <w:r w:rsidRPr="00357934">
        <w:tab/>
      </w:r>
      <w:r w:rsidRPr="00357934">
        <w:rPr>
          <w:color w:val="02AD4C"/>
        </w:rPr>
        <w:sym w:font="Wingdings 3" w:char="F070"/>
      </w:r>
      <w:r w:rsidRPr="00357934">
        <w:t>1,8%</w:t>
      </w:r>
      <w:r w:rsidRPr="00357934">
        <w:tab/>
      </w:r>
      <w:r w:rsidRPr="00357934">
        <w:rPr>
          <w:color w:val="ED1C24"/>
        </w:rPr>
        <w:sym w:font="Wingdings 3" w:char="F071"/>
      </w:r>
      <w:r w:rsidRPr="00357934">
        <w:t>−5%</w:t>
      </w:r>
    </w:p>
    <w:p w14:paraId="2E110C45" w14:textId="77777777" w:rsidR="00357934" w:rsidRPr="00357934" w:rsidRDefault="00357934" w:rsidP="00E12C7F">
      <w:pPr>
        <w:pStyle w:val="Nincstrkz"/>
        <w:tabs>
          <w:tab w:val="decimal" w:pos="2268"/>
          <w:tab w:val="decimal" w:pos="4678"/>
          <w:tab w:val="decimal" w:pos="6521"/>
          <w:tab w:val="decimal" w:pos="8789"/>
        </w:tabs>
      </w:pPr>
      <w:r w:rsidRPr="00357934">
        <w:t>2000</w:t>
      </w:r>
      <w:r w:rsidRPr="00357934">
        <w:tab/>
      </w:r>
      <w:r w:rsidRPr="00357934">
        <w:rPr>
          <w:color w:val="02AD4C"/>
        </w:rPr>
        <w:sym w:font="Wingdings 3" w:char="F070"/>
      </w:r>
      <w:r w:rsidRPr="00357934">
        <w:t>1 485,3</w:t>
      </w:r>
      <w:r w:rsidRPr="00357934">
        <w:tab/>
      </w:r>
      <w:r w:rsidRPr="00357934">
        <w:rPr>
          <w:color w:val="02AD4C"/>
        </w:rPr>
        <w:sym w:font="Wingdings 3" w:char="F070"/>
      </w:r>
      <w:r w:rsidRPr="00357934">
        <w:t>3,9%</w:t>
      </w:r>
      <w:r w:rsidRPr="00357934">
        <w:tab/>
      </w:r>
      <w:r w:rsidRPr="00357934">
        <w:rPr>
          <w:color w:val="02AD4C"/>
        </w:rPr>
        <w:sym w:font="Wingdings 3" w:char="F070"/>
      </w:r>
      <w:r w:rsidRPr="00357934">
        <w:t>1,8%</w:t>
      </w:r>
      <w:r w:rsidRPr="00357934">
        <w:tab/>
      </w:r>
      <w:r w:rsidRPr="00357934">
        <w:rPr>
          <w:color w:val="ED1C24"/>
        </w:rPr>
        <w:sym w:font="Wingdings 3" w:char="F071"/>
      </w:r>
      <w:r w:rsidRPr="00357934">
        <w:t>−1,3%</w:t>
      </w:r>
    </w:p>
    <w:p w14:paraId="5F1072C1" w14:textId="77777777" w:rsidR="00357934" w:rsidRPr="00357934" w:rsidRDefault="00357934" w:rsidP="00E12C7F">
      <w:pPr>
        <w:pStyle w:val="Nincstrkz"/>
        <w:tabs>
          <w:tab w:val="decimal" w:pos="2268"/>
          <w:tab w:val="decimal" w:pos="4678"/>
          <w:tab w:val="decimal" w:pos="6521"/>
          <w:tab w:val="decimal" w:pos="8789"/>
        </w:tabs>
      </w:pPr>
      <w:r w:rsidRPr="00357934">
        <w:t>2005</w:t>
      </w:r>
      <w:r w:rsidRPr="00357934">
        <w:tab/>
      </w:r>
      <w:r w:rsidRPr="00357934">
        <w:rPr>
          <w:color w:val="02AD4C"/>
        </w:rPr>
        <w:sym w:font="Wingdings 3" w:char="F070"/>
      </w:r>
      <w:r w:rsidRPr="00357934">
        <w:t>1 772,0</w:t>
      </w:r>
      <w:r w:rsidRPr="00357934">
        <w:tab/>
      </w:r>
      <w:r w:rsidRPr="00357934">
        <w:rPr>
          <w:color w:val="02AD4C"/>
        </w:rPr>
        <w:sym w:font="Wingdings 3" w:char="F070"/>
      </w:r>
      <w:r w:rsidRPr="00357934">
        <w:t>1,7%</w:t>
      </w:r>
      <w:r w:rsidRPr="00357934">
        <w:tab/>
      </w:r>
      <w:r w:rsidRPr="00357934">
        <w:rPr>
          <w:color w:val="02AD4C"/>
        </w:rPr>
        <w:sym w:font="Wingdings 3" w:char="F070"/>
      </w:r>
      <w:r w:rsidRPr="00357934">
        <w:t>1,9%</w:t>
      </w:r>
      <w:r w:rsidRPr="00357934">
        <w:tab/>
      </w:r>
      <w:r w:rsidRPr="00357934">
        <w:rPr>
          <w:color w:val="ED1C24"/>
        </w:rPr>
        <w:sym w:font="Wingdings 3" w:char="F071"/>
      </w:r>
      <w:r w:rsidRPr="00357934">
        <w:t>−3,2%</w:t>
      </w:r>
    </w:p>
    <w:p w14:paraId="150F3F17" w14:textId="77777777" w:rsidR="00357934" w:rsidRPr="00357934" w:rsidRDefault="00357934" w:rsidP="00E12C7F">
      <w:pPr>
        <w:pStyle w:val="Nincstrkz"/>
        <w:tabs>
          <w:tab w:val="decimal" w:pos="2268"/>
          <w:tab w:val="decimal" w:pos="4678"/>
          <w:tab w:val="decimal" w:pos="6521"/>
          <w:tab w:val="decimal" w:pos="8789"/>
        </w:tabs>
      </w:pPr>
      <w:r w:rsidRPr="00357934">
        <w:t>2010</w:t>
      </w:r>
      <w:r w:rsidRPr="00357934">
        <w:tab/>
      </w:r>
      <w:r w:rsidRPr="00357934">
        <w:rPr>
          <w:color w:val="02AD4C"/>
        </w:rPr>
        <w:sym w:font="Wingdings 3" w:char="F070"/>
      </w:r>
      <w:r w:rsidRPr="00357934">
        <w:t>1 998,4</w:t>
      </w:r>
      <w:r w:rsidRPr="00357934">
        <w:tab/>
      </w:r>
      <w:r w:rsidRPr="00357934">
        <w:rPr>
          <w:color w:val="02AD4C"/>
        </w:rPr>
        <w:sym w:font="Wingdings 3" w:char="F070"/>
      </w:r>
      <w:r w:rsidRPr="00357934">
        <w:t>1,9%</w:t>
      </w:r>
      <w:r w:rsidRPr="00357934">
        <w:tab/>
      </w:r>
      <w:r w:rsidRPr="00357934">
        <w:rPr>
          <w:color w:val="02AD4C"/>
        </w:rPr>
        <w:sym w:font="Wingdings 3" w:char="F070"/>
      </w:r>
      <w:r w:rsidRPr="00357934">
        <w:t>1,7%</w:t>
      </w:r>
      <w:r w:rsidRPr="00357934">
        <w:tab/>
      </w:r>
      <w:r w:rsidRPr="00357934">
        <w:rPr>
          <w:color w:val="ED1C24"/>
        </w:rPr>
        <w:sym w:font="Wingdings 3" w:char="F071"/>
      </w:r>
      <w:r w:rsidRPr="00357934">
        <w:t>−6,8%</w:t>
      </w:r>
    </w:p>
    <w:p w14:paraId="04F41B31" w14:textId="6E341D02" w:rsidR="00357934" w:rsidRPr="00357934" w:rsidRDefault="00357934" w:rsidP="00E12C7F">
      <w:pPr>
        <w:pStyle w:val="Nincstrkz"/>
        <w:tabs>
          <w:tab w:val="decimal" w:pos="2268"/>
          <w:tab w:val="decimal" w:pos="4678"/>
          <w:tab w:val="decimal" w:pos="6521"/>
          <w:tab w:val="decimal" w:pos="8789"/>
        </w:tabs>
      </w:pPr>
      <w:r w:rsidRPr="00357934">
        <w:t>2015</w:t>
      </w:r>
      <w:r w:rsidRPr="00357934">
        <w:tab/>
      </w:r>
      <w:r w:rsidRPr="00357934">
        <w:rPr>
          <w:color w:val="02AD4C"/>
        </w:rPr>
        <w:sym w:font="Wingdings 3" w:char="F070"/>
      </w:r>
      <w:r w:rsidRPr="00357934">
        <w:t>2 198,4</w:t>
      </w:r>
      <w:r w:rsidRPr="00357934">
        <w:tab/>
      </w:r>
      <w:r w:rsidRPr="00357934">
        <w:rPr>
          <w:color w:val="02AD4C"/>
        </w:rPr>
        <w:sym w:font="Wingdings 3" w:char="F070"/>
      </w:r>
      <w:r w:rsidRPr="00357934">
        <w:t>1%</w:t>
      </w:r>
      <w:r w:rsidRPr="00357934">
        <w:tab/>
      </w:r>
      <w:r w:rsidRPr="00357934">
        <w:rPr>
          <w:color w:val="02AD4C"/>
        </w:rPr>
        <w:sym w:font="Wingdings 3" w:char="F070"/>
      </w:r>
      <w:r w:rsidRPr="00357934">
        <w:t>0,1%</w:t>
      </w:r>
      <w:r w:rsidRPr="00357934">
        <w:tab/>
      </w:r>
      <w:r w:rsidRPr="00357934">
        <w:rPr>
          <w:color w:val="ED1C24"/>
        </w:rPr>
        <w:sym w:font="Wingdings 3" w:char="F071"/>
      </w:r>
      <w:r w:rsidRPr="00357934">
        <w:t>−3,6%</w:t>
      </w:r>
    </w:p>
    <w:p w14:paraId="23C3E55E" w14:textId="77777777" w:rsidR="00357934" w:rsidRPr="00357934" w:rsidRDefault="00357934" w:rsidP="00E12C7F">
      <w:pPr>
        <w:pStyle w:val="Nincstrkz"/>
        <w:tabs>
          <w:tab w:val="decimal" w:pos="2268"/>
          <w:tab w:val="decimal" w:pos="4678"/>
          <w:tab w:val="decimal" w:pos="6521"/>
          <w:tab w:val="decimal" w:pos="8789"/>
        </w:tabs>
      </w:pPr>
      <w:r w:rsidRPr="00357934">
        <w:t>2018</w:t>
      </w:r>
      <w:r w:rsidRPr="00357934">
        <w:tab/>
      </w:r>
      <w:r w:rsidRPr="00357934">
        <w:rPr>
          <w:color w:val="02AD4C"/>
        </w:rPr>
        <w:sym w:font="Wingdings 3" w:char="F070"/>
      </w:r>
      <w:r w:rsidRPr="00357934">
        <w:t>2 353,1</w:t>
      </w:r>
      <w:r w:rsidRPr="00357934">
        <w:tab/>
      </w:r>
      <w:r w:rsidRPr="00357934">
        <w:rPr>
          <w:color w:val="02AD4C"/>
        </w:rPr>
        <w:sym w:font="Wingdings 3" w:char="F070"/>
      </w:r>
      <w:r w:rsidRPr="00357934">
        <w:t>1,8%</w:t>
      </w:r>
      <w:r w:rsidRPr="00357934">
        <w:tab/>
      </w:r>
      <w:r w:rsidRPr="00357934">
        <w:t>2,1%</w:t>
      </w:r>
      <w:r w:rsidRPr="00357934">
        <w:tab/>
      </w:r>
      <w:r w:rsidRPr="00357934">
        <w:rPr>
          <w:color w:val="ED1C24"/>
        </w:rPr>
        <w:sym w:font="Wingdings 3" w:char="F071"/>
      </w:r>
      <w:r w:rsidRPr="00357934">
        <w:t>−2,5%</w:t>
      </w:r>
    </w:p>
    <w:p w14:paraId="562339E7" w14:textId="77777777" w:rsidR="00B26E29" w:rsidRPr="00B26E29" w:rsidRDefault="00B26E29" w:rsidP="006734CA">
      <w:pPr>
        <w:pStyle w:val="Cmsor2"/>
      </w:pPr>
      <w:r w:rsidRPr="00B26E29">
        <w:t>Külkereskedelem</w:t>
      </w:r>
    </w:p>
    <w:p w14:paraId="2071396C" w14:textId="77777777" w:rsidR="00B26E29" w:rsidRPr="00B26E29" w:rsidRDefault="00B26E29" w:rsidP="009C3C7A">
      <w:pPr>
        <w:pStyle w:val="Listaszerbekezds"/>
        <w:ind w:left="426"/>
      </w:pPr>
      <w:r w:rsidRPr="00B26E29">
        <w:t>Exporttermékek: műszaki berendezések és alkatrészek, repülőgép, műanyagok, vegyipari termékek, gyógyszeripari termékek, vas és acél, italok (bor).</w:t>
      </w:r>
    </w:p>
    <w:p w14:paraId="32B4AA4B" w14:textId="77777777" w:rsidR="00B26E29" w:rsidRPr="00B26E29" w:rsidRDefault="00B26E29" w:rsidP="009C3C7A">
      <w:pPr>
        <w:pStyle w:val="Listaszerbekezds"/>
        <w:ind w:left="426"/>
      </w:pPr>
      <w:r w:rsidRPr="00B26E29">
        <w:t>Importtermékek: műszaki berendezések és alkatrészek, járművek, nyersolaj, vegyipari termékek.</w:t>
      </w:r>
    </w:p>
    <w:p w14:paraId="57F5D2B7" w14:textId="77777777" w:rsidR="00B26E29" w:rsidRPr="00B26E29" w:rsidRDefault="00B26E29" w:rsidP="009C3C7A">
      <w:pPr>
        <w:pStyle w:val="Listaszerbekezds"/>
        <w:ind w:left="426"/>
      </w:pPr>
      <w:r w:rsidRPr="00B26E29">
        <w:t>Legfőbb kereskedelmi partnerek 2016-ban:</w:t>
      </w:r>
    </w:p>
    <w:p w14:paraId="0CA19DA9" w14:textId="77777777" w:rsidR="00B26E29" w:rsidRPr="00B26E29" w:rsidRDefault="00B26E29" w:rsidP="009C3C7A">
      <w:pPr>
        <w:pStyle w:val="Listaszerbekezds"/>
        <w:numPr>
          <w:ilvl w:val="1"/>
          <w:numId w:val="5"/>
        </w:numPr>
        <w:ind w:left="709" w:hanging="284"/>
      </w:pPr>
      <w:r w:rsidRPr="00B26E29">
        <w:t>Export:</w:t>
      </w:r>
    </w:p>
    <w:p w14:paraId="2F2A1471" w14:textId="77777777" w:rsidR="00B26E29" w:rsidRPr="00B26E29" w:rsidRDefault="00B26E29" w:rsidP="00E12C7F">
      <w:pPr>
        <w:pStyle w:val="Listaszerbekezds"/>
        <w:numPr>
          <w:ilvl w:val="2"/>
          <w:numId w:val="6"/>
        </w:numPr>
        <w:tabs>
          <w:tab w:val="decimal" w:pos="3969"/>
        </w:tabs>
        <w:ind w:left="1134" w:hanging="425"/>
      </w:pPr>
      <w:r w:rsidRPr="00B26E29">
        <w:t>Németország</w:t>
      </w:r>
      <w:r w:rsidRPr="00B26E29">
        <w:tab/>
        <w:t>16%</w:t>
      </w:r>
    </w:p>
    <w:p w14:paraId="7C5F07CB" w14:textId="77777777" w:rsidR="00B26E29" w:rsidRPr="00B26E29" w:rsidRDefault="00B26E29" w:rsidP="00E12C7F">
      <w:pPr>
        <w:pStyle w:val="Listaszerbekezds"/>
        <w:numPr>
          <w:ilvl w:val="2"/>
          <w:numId w:val="6"/>
        </w:numPr>
        <w:tabs>
          <w:tab w:val="decimal" w:pos="3969"/>
        </w:tabs>
        <w:ind w:left="1134" w:hanging="425"/>
      </w:pPr>
      <w:r w:rsidRPr="00B26E29">
        <w:t>Spanyolország</w:t>
      </w:r>
      <w:r w:rsidRPr="00B26E29">
        <w:tab/>
        <w:t>7,6%</w:t>
      </w:r>
    </w:p>
    <w:p w14:paraId="64BAE14B" w14:textId="77777777" w:rsidR="00B26E29" w:rsidRPr="00B26E29" w:rsidRDefault="00B26E29" w:rsidP="00E12C7F">
      <w:pPr>
        <w:pStyle w:val="Listaszerbekezds"/>
        <w:numPr>
          <w:ilvl w:val="2"/>
          <w:numId w:val="6"/>
        </w:numPr>
        <w:tabs>
          <w:tab w:val="decimal" w:pos="3969"/>
        </w:tabs>
        <w:ind w:left="1134" w:hanging="425"/>
      </w:pPr>
      <w:r w:rsidRPr="00B26E29">
        <w:t>USA</w:t>
      </w:r>
      <w:r w:rsidRPr="00B26E29">
        <w:tab/>
        <w:t>7,3%</w:t>
      </w:r>
    </w:p>
    <w:p w14:paraId="7061DF79" w14:textId="77777777" w:rsidR="00B26E29" w:rsidRPr="00B26E29" w:rsidRDefault="00B26E29" w:rsidP="00E12C7F">
      <w:pPr>
        <w:pStyle w:val="Listaszerbekezds"/>
        <w:numPr>
          <w:ilvl w:val="2"/>
          <w:numId w:val="6"/>
        </w:numPr>
        <w:tabs>
          <w:tab w:val="decimal" w:pos="3969"/>
        </w:tabs>
        <w:ind w:left="1134" w:hanging="425"/>
      </w:pPr>
      <w:r w:rsidRPr="00B26E29">
        <w:t>Olaszország</w:t>
      </w:r>
      <w:r w:rsidRPr="00B26E29">
        <w:tab/>
        <w:t>7,2%</w:t>
      </w:r>
    </w:p>
    <w:p w14:paraId="75C70E01" w14:textId="77777777" w:rsidR="00B26E29" w:rsidRPr="00B26E29" w:rsidRDefault="00B26E29" w:rsidP="00E12C7F">
      <w:pPr>
        <w:pStyle w:val="Listaszerbekezds"/>
        <w:numPr>
          <w:ilvl w:val="2"/>
          <w:numId w:val="6"/>
        </w:numPr>
        <w:tabs>
          <w:tab w:val="decimal" w:pos="3969"/>
        </w:tabs>
        <w:ind w:left="1134" w:hanging="425"/>
      </w:pPr>
      <w:r w:rsidRPr="00B26E29">
        <w:t>Egyesült Királyság</w:t>
      </w:r>
      <w:r w:rsidRPr="00B26E29">
        <w:tab/>
        <w:t>7%</w:t>
      </w:r>
    </w:p>
    <w:p w14:paraId="70712FAD" w14:textId="77777777" w:rsidR="00B26E29" w:rsidRPr="00B26E29" w:rsidRDefault="00B26E29" w:rsidP="00E12C7F">
      <w:pPr>
        <w:pStyle w:val="Listaszerbekezds"/>
        <w:numPr>
          <w:ilvl w:val="2"/>
          <w:numId w:val="6"/>
        </w:numPr>
        <w:tabs>
          <w:tab w:val="decimal" w:pos="3969"/>
        </w:tabs>
        <w:ind w:left="1134" w:hanging="425"/>
      </w:pPr>
      <w:r w:rsidRPr="00B26E29">
        <w:t>Belgium</w:t>
      </w:r>
      <w:r w:rsidRPr="00B26E29">
        <w:tab/>
        <w:t>6,8%</w:t>
      </w:r>
    </w:p>
    <w:p w14:paraId="413EEEAB" w14:textId="77777777" w:rsidR="00B26E29" w:rsidRPr="00B26E29" w:rsidRDefault="00B26E29" w:rsidP="009C3C7A">
      <w:pPr>
        <w:pStyle w:val="Listaszerbekezds"/>
        <w:numPr>
          <w:ilvl w:val="1"/>
          <w:numId w:val="4"/>
        </w:numPr>
        <w:ind w:left="709" w:hanging="284"/>
      </w:pPr>
      <w:r w:rsidRPr="00B26E29">
        <w:t>Import</w:t>
      </w:r>
    </w:p>
    <w:p w14:paraId="2656E27A" w14:textId="77777777" w:rsidR="00B26E29" w:rsidRPr="00B26E29" w:rsidRDefault="00B26E29" w:rsidP="00E12C7F">
      <w:pPr>
        <w:pStyle w:val="Listaszerbekezds"/>
        <w:numPr>
          <w:ilvl w:val="2"/>
          <w:numId w:val="7"/>
        </w:numPr>
        <w:tabs>
          <w:tab w:val="decimal" w:pos="4395"/>
        </w:tabs>
        <w:ind w:left="1134" w:hanging="425"/>
      </w:pPr>
      <w:r w:rsidRPr="00B26E29">
        <w:t>Németország</w:t>
      </w:r>
      <w:r w:rsidRPr="00B26E29">
        <w:tab/>
        <w:t>19,3%</w:t>
      </w:r>
    </w:p>
    <w:p w14:paraId="6E3B1951" w14:textId="77777777" w:rsidR="00B26E29" w:rsidRPr="00B26E29" w:rsidRDefault="00B26E29" w:rsidP="00E12C7F">
      <w:pPr>
        <w:pStyle w:val="Listaszerbekezds"/>
        <w:numPr>
          <w:ilvl w:val="2"/>
          <w:numId w:val="7"/>
        </w:numPr>
        <w:tabs>
          <w:tab w:val="decimal" w:pos="4395"/>
        </w:tabs>
        <w:ind w:left="1134" w:hanging="425"/>
      </w:pPr>
      <w:r w:rsidRPr="00B26E29">
        <w:t>Belgium</w:t>
      </w:r>
      <w:r w:rsidRPr="00B26E29">
        <w:tab/>
        <w:t>10,6%</w:t>
      </w:r>
    </w:p>
    <w:p w14:paraId="6C471EB3" w14:textId="77777777" w:rsidR="00B26E29" w:rsidRPr="00B26E29" w:rsidRDefault="00B26E29" w:rsidP="00E12C7F">
      <w:pPr>
        <w:pStyle w:val="Listaszerbekezds"/>
        <w:numPr>
          <w:ilvl w:val="2"/>
          <w:numId w:val="7"/>
        </w:numPr>
        <w:tabs>
          <w:tab w:val="decimal" w:pos="4395"/>
        </w:tabs>
        <w:ind w:left="1134" w:hanging="425"/>
      </w:pPr>
      <w:r w:rsidRPr="00B26E29">
        <w:t>Hollandia</w:t>
      </w:r>
      <w:r w:rsidRPr="00B26E29">
        <w:tab/>
        <w:t>7,9%</w:t>
      </w:r>
    </w:p>
    <w:p w14:paraId="7F71B6FA" w14:textId="77777777" w:rsidR="00B26E29" w:rsidRPr="00B26E29" w:rsidRDefault="00B26E29" w:rsidP="00E12C7F">
      <w:pPr>
        <w:pStyle w:val="Listaszerbekezds"/>
        <w:numPr>
          <w:ilvl w:val="2"/>
          <w:numId w:val="7"/>
        </w:numPr>
        <w:tabs>
          <w:tab w:val="decimal" w:pos="4395"/>
        </w:tabs>
        <w:ind w:left="1134" w:hanging="425"/>
      </w:pPr>
      <w:r w:rsidRPr="00B26E29">
        <w:t>Olaszország</w:t>
      </w:r>
      <w:r w:rsidRPr="00B26E29">
        <w:tab/>
        <w:t>7,8%</w:t>
      </w:r>
    </w:p>
    <w:p w14:paraId="4885A20F" w14:textId="77777777" w:rsidR="00B26E29" w:rsidRPr="00B26E29" w:rsidRDefault="00B26E29" w:rsidP="00E12C7F">
      <w:pPr>
        <w:pStyle w:val="Listaszerbekezds"/>
        <w:numPr>
          <w:ilvl w:val="2"/>
          <w:numId w:val="7"/>
        </w:numPr>
        <w:tabs>
          <w:tab w:val="decimal" w:pos="4395"/>
        </w:tabs>
        <w:ind w:left="1134" w:hanging="425"/>
      </w:pPr>
      <w:r w:rsidRPr="00B26E29">
        <w:t>Spanyolország</w:t>
      </w:r>
      <w:r w:rsidRPr="00B26E29">
        <w:tab/>
        <w:t>7%</w:t>
      </w:r>
    </w:p>
    <w:p w14:paraId="49A7026C" w14:textId="77777777" w:rsidR="00B26E29" w:rsidRPr="00B26E29" w:rsidRDefault="00B26E29" w:rsidP="00E12C7F">
      <w:pPr>
        <w:pStyle w:val="Listaszerbekezds"/>
        <w:numPr>
          <w:ilvl w:val="2"/>
          <w:numId w:val="7"/>
        </w:numPr>
        <w:tabs>
          <w:tab w:val="decimal" w:pos="4395"/>
        </w:tabs>
        <w:ind w:left="1134" w:hanging="425"/>
      </w:pPr>
      <w:r w:rsidRPr="00B26E29">
        <w:t>USA</w:t>
      </w:r>
      <w:r w:rsidRPr="00B26E29">
        <w:tab/>
        <w:t>5,8%</w:t>
      </w:r>
    </w:p>
    <w:p w14:paraId="2714D56F" w14:textId="77777777" w:rsidR="00B26E29" w:rsidRDefault="00B26E29" w:rsidP="006734CA">
      <w:pPr>
        <w:pStyle w:val="Cmsor1"/>
      </w:pPr>
      <w:r w:rsidRPr="00B26E29">
        <w:lastRenderedPageBreak/>
        <w:t>Közlekedés</w:t>
      </w:r>
    </w:p>
    <w:tbl>
      <w:tblPr>
        <w:tblStyle w:val="Rcsostblzat"/>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13" w:type="dxa"/>
          <w:bottom w:w="113" w:type="dxa"/>
          <w:right w:w="113" w:type="dxa"/>
        </w:tblCellMar>
        <w:tblLook w:val="04A0" w:firstRow="1" w:lastRow="0" w:firstColumn="1" w:lastColumn="0" w:noHBand="0" w:noVBand="1"/>
      </w:tblPr>
      <w:tblGrid>
        <w:gridCol w:w="1186"/>
        <w:gridCol w:w="7885"/>
      </w:tblGrid>
      <w:tr w:rsidR="006734CA" w14:paraId="6E3708B2" w14:textId="77777777" w:rsidTr="009C3C7A">
        <w:tc>
          <w:tcPr>
            <w:tcW w:w="964" w:type="dxa"/>
            <w:shd w:val="clear" w:color="auto" w:fill="0CAAE2"/>
            <w:vAlign w:val="center"/>
          </w:tcPr>
          <w:p w14:paraId="204B97BF" w14:textId="29024CB1" w:rsidR="006734CA" w:rsidRDefault="006734CA" w:rsidP="006734CA">
            <w:pPr>
              <w:jc w:val="center"/>
            </w:pPr>
            <w:r>
              <w:rPr>
                <w:noProof/>
              </w:rPr>
              <w:drawing>
                <wp:inline distT="0" distB="0" distL="0" distR="0" wp14:anchorId="00B6E004" wp14:editId="284C6B10">
                  <wp:extent cx="600710" cy="600710"/>
                  <wp:effectExtent l="0" t="0" r="8890" b="0"/>
                  <wp:docPr id="25335175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710" cy="600710"/>
                          </a:xfrm>
                          <a:prstGeom prst="rect">
                            <a:avLst/>
                          </a:prstGeom>
                          <a:noFill/>
                          <a:ln>
                            <a:noFill/>
                          </a:ln>
                        </pic:spPr>
                      </pic:pic>
                    </a:graphicData>
                  </a:graphic>
                </wp:inline>
              </w:drawing>
            </w:r>
          </w:p>
        </w:tc>
        <w:tc>
          <w:tcPr>
            <w:tcW w:w="8107" w:type="dxa"/>
          </w:tcPr>
          <w:p w14:paraId="0F092E04" w14:textId="1C2839EE" w:rsidR="006734CA" w:rsidRDefault="006734CA" w:rsidP="006734CA">
            <w:pPr>
              <w:jc w:val="both"/>
            </w:pPr>
            <w:r w:rsidRPr="006734CA">
              <w:rPr>
                <w:b/>
                <w:bCs/>
              </w:rPr>
              <w:t>Közút –</w:t>
            </w:r>
            <w:r w:rsidRPr="00B26E29">
              <w:t xml:space="preserve"> Az ország 1 028 446 km közúttal büszkélkedhet. Az úthálózat Párizs környékén a legsűrűbb, az utak és autópályák látszólag az egész országból itt találkoznak. A francia közutakon jelentős nemzetközi gépjárműmennyiség is áthalad. Az utak és a nagyvárosok közelében futó autópályák ingyenesek, a városok között viszont az autópályák használatáért fizetni kell. Az autópiacot a hazai gyártók, a Renault (27%-os piaci részesedés), a Peugeot (20,1%) és a Citroën (13,5%) uralják. Franciaország büszkélkedhet a világ legmagasabb közúti </w:t>
            </w:r>
            <w:proofErr w:type="spellStart"/>
            <w:r w:rsidRPr="00B26E29">
              <w:t>hídjával</w:t>
            </w:r>
            <w:proofErr w:type="spellEnd"/>
            <w:r w:rsidRPr="00B26E29">
              <w:t xml:space="preserve">, a </w:t>
            </w:r>
            <w:proofErr w:type="spellStart"/>
            <w:r w:rsidRPr="00B26E29">
              <w:t>Millau</w:t>
            </w:r>
            <w:proofErr w:type="spellEnd"/>
            <w:r w:rsidRPr="00B26E29">
              <w:t xml:space="preserve"> völgyhíddal, és még sok más fontos híddal, olyanokkal, mint például a Normandia híd.</w:t>
            </w:r>
          </w:p>
        </w:tc>
      </w:tr>
      <w:tr w:rsidR="006734CA" w14:paraId="07AB39BC" w14:textId="77777777" w:rsidTr="009C3C7A">
        <w:tc>
          <w:tcPr>
            <w:tcW w:w="964" w:type="dxa"/>
            <w:shd w:val="clear" w:color="auto" w:fill="0CAAE2"/>
            <w:vAlign w:val="center"/>
          </w:tcPr>
          <w:p w14:paraId="50558C2D" w14:textId="60A2DDF7" w:rsidR="006734CA" w:rsidRDefault="006734CA" w:rsidP="006734CA">
            <w:pPr>
              <w:jc w:val="center"/>
            </w:pPr>
            <w:r>
              <w:rPr>
                <w:noProof/>
              </w:rPr>
              <w:drawing>
                <wp:inline distT="0" distB="0" distL="0" distR="0" wp14:anchorId="7AC861B2" wp14:editId="37B14FBA">
                  <wp:extent cx="600710" cy="600710"/>
                  <wp:effectExtent l="0" t="0" r="0" b="8890"/>
                  <wp:docPr id="412171503"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710" cy="600710"/>
                          </a:xfrm>
                          <a:prstGeom prst="rect">
                            <a:avLst/>
                          </a:prstGeom>
                          <a:noFill/>
                          <a:ln>
                            <a:noFill/>
                          </a:ln>
                        </pic:spPr>
                      </pic:pic>
                    </a:graphicData>
                  </a:graphic>
                </wp:inline>
              </w:drawing>
            </w:r>
          </w:p>
        </w:tc>
        <w:tc>
          <w:tcPr>
            <w:tcW w:w="8107" w:type="dxa"/>
          </w:tcPr>
          <w:p w14:paraId="7CEF6965" w14:textId="1BFE31BC" w:rsidR="006734CA" w:rsidRDefault="006734CA" w:rsidP="006734CA">
            <w:pPr>
              <w:jc w:val="both"/>
            </w:pPr>
            <w:r>
              <w:rPr>
                <w:b/>
                <w:bCs/>
                <w:noProof/>
              </w:rPr>
              <w:drawing>
                <wp:anchor distT="0" distB="0" distL="114300" distR="114300" simplePos="0" relativeHeight="251658240" behindDoc="0" locked="0" layoutInCell="1" allowOverlap="1" wp14:anchorId="1BF085D4" wp14:editId="18956E33">
                  <wp:simplePos x="0" y="0"/>
                  <wp:positionH relativeFrom="column">
                    <wp:posOffset>2005330</wp:posOffset>
                  </wp:positionH>
                  <wp:positionV relativeFrom="paragraph">
                    <wp:posOffset>4445</wp:posOffset>
                  </wp:positionV>
                  <wp:extent cx="3065780" cy="2043430"/>
                  <wp:effectExtent l="0" t="0" r="1270" b="0"/>
                  <wp:wrapSquare wrapText="bothSides"/>
                  <wp:docPr id="129419767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5780"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34CA">
              <w:rPr>
                <w:b/>
                <w:bCs/>
              </w:rPr>
              <w:t>Vasút –</w:t>
            </w:r>
            <w:r w:rsidRPr="00B26E29">
              <w:t xml:space="preserve"> Franciaország vasúthálózata a legnagyobb Nyugat-Európában. A vasúti </w:t>
            </w:r>
            <w:proofErr w:type="spellStart"/>
            <w:r w:rsidRPr="00B26E29">
              <w:t>közle</w:t>
            </w:r>
            <w:proofErr w:type="spellEnd"/>
            <w:r>
              <w:rPr>
                <w:b/>
                <w:bCs/>
                <w:noProof/>
              </w:rPr>
              <w:t xml:space="preserve"> </w:t>
            </w:r>
            <w:proofErr w:type="spellStart"/>
            <w:r w:rsidRPr="00B26E29">
              <w:t>kedésben</w:t>
            </w:r>
            <w:proofErr w:type="spellEnd"/>
            <w:r w:rsidRPr="00B26E29">
              <w:t xml:space="preserve"> a legfontosabb szerepet a nemzeti vasúttársaság, az SNCF játssza. Az SNCF üzemelteti a </w:t>
            </w:r>
            <w:proofErr w:type="spellStart"/>
            <w:r w:rsidRPr="00B26E29">
              <w:t>Thalys</w:t>
            </w:r>
            <w:proofErr w:type="spellEnd"/>
            <w:r w:rsidRPr="00B26E29">
              <w:t>, Eurostar és a TGV nagysebességű vasúthálózatot. Az Eurostar az Egyesült Királyságot köti össze az európai kontinenssel a Csatorna-alagúton keresztül. Franciaország Andorrán kívül minden szomszédjával létesített vasúti összeköttetést. A nagyvárosi közlekedésben metrók és villamosok egészítik ki a buszjáratokat.</w:t>
            </w:r>
          </w:p>
        </w:tc>
      </w:tr>
      <w:tr w:rsidR="006734CA" w14:paraId="37A52888" w14:textId="77777777" w:rsidTr="009C3C7A">
        <w:tc>
          <w:tcPr>
            <w:tcW w:w="964" w:type="dxa"/>
            <w:shd w:val="clear" w:color="auto" w:fill="0CAAE2"/>
            <w:vAlign w:val="center"/>
          </w:tcPr>
          <w:p w14:paraId="4ED2A675" w14:textId="6F2B94B0" w:rsidR="006734CA" w:rsidRDefault="006734CA" w:rsidP="006734CA">
            <w:pPr>
              <w:jc w:val="center"/>
            </w:pPr>
            <w:r>
              <w:rPr>
                <w:noProof/>
              </w:rPr>
              <w:drawing>
                <wp:inline distT="0" distB="0" distL="0" distR="0" wp14:anchorId="050E6FF5" wp14:editId="1263C551">
                  <wp:extent cx="600710" cy="600710"/>
                  <wp:effectExtent l="0" t="0" r="8890" b="0"/>
                  <wp:docPr id="1738569402"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710" cy="600710"/>
                          </a:xfrm>
                          <a:prstGeom prst="rect">
                            <a:avLst/>
                          </a:prstGeom>
                          <a:noFill/>
                          <a:ln>
                            <a:noFill/>
                          </a:ln>
                        </pic:spPr>
                      </pic:pic>
                    </a:graphicData>
                  </a:graphic>
                </wp:inline>
              </w:drawing>
            </w:r>
          </w:p>
        </w:tc>
        <w:tc>
          <w:tcPr>
            <w:tcW w:w="8107" w:type="dxa"/>
          </w:tcPr>
          <w:p w14:paraId="0248A316" w14:textId="383881A3" w:rsidR="006734CA" w:rsidRDefault="006734CA" w:rsidP="006734CA">
            <w:pPr>
              <w:jc w:val="both"/>
            </w:pPr>
            <w:r w:rsidRPr="006734CA">
              <w:rPr>
                <w:b/>
                <w:bCs/>
              </w:rPr>
              <w:t>Légi közlekedés –</w:t>
            </w:r>
            <w:r w:rsidRPr="00B26E29">
              <w:t xml:space="preserve"> Országszerte 478 repülőtér található Franciaországban. A Párizs vonzáskörzetében fekvő Charles de Gaulle nemzetközi repülőtér az ország legnagyobb és legforgalmasabb légi kikötője. Franciaország nemzeti légitársasága az Air France, bár mellette még sok kisebb privát társaság is üzemeltet repülőjáratokat. Az Air France a világ egyik legnagyobb légitársasága, az Air France-KLM csoport egyik leányvállalata, a </w:t>
            </w:r>
            <w:proofErr w:type="spellStart"/>
            <w:r w:rsidRPr="00B26E29">
              <w:t>SkyTeam</w:t>
            </w:r>
            <w:proofErr w:type="spellEnd"/>
            <w:r w:rsidRPr="00B26E29">
              <w:t xml:space="preserve"> légitársaság-szövetség egyik alapító tagja. Az Air France 20 franciaországi és 83 ország 150 külföldi célállomására indít menetrend szerinti utas- és teherszállító járatot.</w:t>
            </w:r>
          </w:p>
        </w:tc>
      </w:tr>
      <w:tr w:rsidR="006734CA" w14:paraId="21DD3E87" w14:textId="77777777" w:rsidTr="009C3C7A">
        <w:tc>
          <w:tcPr>
            <w:tcW w:w="964" w:type="dxa"/>
            <w:shd w:val="clear" w:color="auto" w:fill="0CAAE2"/>
            <w:vAlign w:val="center"/>
          </w:tcPr>
          <w:p w14:paraId="5610C352" w14:textId="3809FE52" w:rsidR="006734CA" w:rsidRDefault="006734CA" w:rsidP="006734CA">
            <w:pPr>
              <w:jc w:val="center"/>
            </w:pPr>
            <w:r>
              <w:rPr>
                <w:noProof/>
              </w:rPr>
              <w:drawing>
                <wp:inline distT="0" distB="0" distL="0" distR="0" wp14:anchorId="66C8D51F" wp14:editId="726E73F7">
                  <wp:extent cx="593725" cy="593725"/>
                  <wp:effectExtent l="0" t="0" r="0" b="0"/>
                  <wp:docPr id="1921579984"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 cy="593725"/>
                          </a:xfrm>
                          <a:prstGeom prst="rect">
                            <a:avLst/>
                          </a:prstGeom>
                          <a:noFill/>
                          <a:ln>
                            <a:noFill/>
                          </a:ln>
                        </pic:spPr>
                      </pic:pic>
                    </a:graphicData>
                  </a:graphic>
                </wp:inline>
              </w:drawing>
            </w:r>
          </w:p>
        </w:tc>
        <w:tc>
          <w:tcPr>
            <w:tcW w:w="8107" w:type="dxa"/>
          </w:tcPr>
          <w:p w14:paraId="5C22106E" w14:textId="2FBAE036" w:rsidR="006734CA" w:rsidRDefault="006734CA" w:rsidP="006734CA">
            <w:pPr>
              <w:jc w:val="both"/>
            </w:pPr>
            <w:r w:rsidRPr="00B26E29">
              <w:t xml:space="preserve">Az országban tíz jelentősebb kikötő található, a legnagyobb ezek közül Marseille a Földközi-tenger partján. Csaknem 15 000 km csatorna szeli át Franciaországot. A </w:t>
            </w:r>
            <w:proofErr w:type="spellStart"/>
            <w:r w:rsidRPr="00B26E29">
              <w:t>Canal</w:t>
            </w:r>
            <w:proofErr w:type="spellEnd"/>
            <w:r w:rsidRPr="00B26E29">
              <w:t xml:space="preserve"> du Midi a </w:t>
            </w:r>
            <w:proofErr w:type="spellStart"/>
            <w:r w:rsidRPr="00B26E29">
              <w:t>Garonne</w:t>
            </w:r>
            <w:proofErr w:type="spellEnd"/>
            <w:r w:rsidRPr="00B26E29">
              <w:t xml:space="preserve"> folyón keresztül köti össze az Atlanti-óceánt a Földközi-tengerrel. A </w:t>
            </w:r>
            <w:proofErr w:type="spellStart"/>
            <w:r w:rsidRPr="00B26E29">
              <w:t>Canal</w:t>
            </w:r>
            <w:proofErr w:type="spellEnd"/>
            <w:r w:rsidRPr="00B26E29">
              <w:t xml:space="preserve"> du Midi történelmi jelentőségű. A csatorna hossza 240 km és Toulouse városától </w:t>
            </w:r>
            <w:proofErr w:type="spellStart"/>
            <w:r w:rsidRPr="00B26E29">
              <w:t>Sète</w:t>
            </w:r>
            <w:proofErr w:type="spellEnd"/>
            <w:r w:rsidRPr="00B26E29">
              <w:t xml:space="preserve"> kikötőig nyúlik (ez utóbbit azért alapították, hogy a csatornának a keleti végpontja legyen.)</w:t>
            </w:r>
          </w:p>
        </w:tc>
      </w:tr>
    </w:tbl>
    <w:p w14:paraId="22EEB20E" w14:textId="0755A64C" w:rsidR="007F216B" w:rsidRPr="00B26E29" w:rsidRDefault="007F216B" w:rsidP="006734CA"/>
    <w:sectPr w:rsidR="007F216B" w:rsidRPr="00B26E29" w:rsidSect="009C3C7A">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57A95" w14:textId="77777777" w:rsidR="007917D2" w:rsidRDefault="007917D2" w:rsidP="009C3C7A">
      <w:pPr>
        <w:spacing w:after="0" w:line="240" w:lineRule="auto"/>
      </w:pPr>
      <w:r>
        <w:separator/>
      </w:r>
    </w:p>
  </w:endnote>
  <w:endnote w:type="continuationSeparator" w:id="0">
    <w:p w14:paraId="46E53690" w14:textId="77777777" w:rsidR="007917D2" w:rsidRDefault="007917D2" w:rsidP="009C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Garamond">
    <w:panose1 w:val="02020404030301010803"/>
    <w:charset w:val="EE"/>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Rcsostblzat"/>
      <w:tblW w:w="0" w:type="auto"/>
      <w:jc w:val="center"/>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1474"/>
    </w:tblGrid>
    <w:tr w:rsidR="009C3C7A" w14:paraId="2CD1AE2E" w14:textId="77777777" w:rsidTr="009C3C7A">
      <w:trPr>
        <w:trHeight w:val="510"/>
        <w:jc w:val="center"/>
      </w:trPr>
      <w:tc>
        <w:tcPr>
          <w:tcW w:w="283" w:type="dxa"/>
          <w:shd w:val="clear" w:color="auto" w:fill="016AB4"/>
        </w:tcPr>
        <w:p w14:paraId="120DB94A" w14:textId="77777777" w:rsidR="009C3C7A" w:rsidRDefault="009C3C7A" w:rsidP="009C3C7A">
          <w:pPr>
            <w:pStyle w:val="llb"/>
            <w:jc w:val="center"/>
          </w:pPr>
        </w:p>
      </w:tc>
      <w:tc>
        <w:tcPr>
          <w:tcW w:w="283" w:type="dxa"/>
        </w:tcPr>
        <w:p w14:paraId="338A105E" w14:textId="77777777" w:rsidR="009C3C7A" w:rsidRDefault="009C3C7A" w:rsidP="009C3C7A">
          <w:pPr>
            <w:pStyle w:val="llb"/>
            <w:jc w:val="center"/>
          </w:pPr>
        </w:p>
      </w:tc>
      <w:tc>
        <w:tcPr>
          <w:tcW w:w="283" w:type="dxa"/>
          <w:shd w:val="clear" w:color="auto" w:fill="ED1C24"/>
        </w:tcPr>
        <w:p w14:paraId="699A1FB2" w14:textId="24F97BC3" w:rsidR="009C3C7A" w:rsidRDefault="009C3C7A" w:rsidP="009C3C7A">
          <w:pPr>
            <w:pStyle w:val="llb"/>
            <w:jc w:val="center"/>
          </w:pPr>
        </w:p>
      </w:tc>
      <w:tc>
        <w:tcPr>
          <w:tcW w:w="1474" w:type="dxa"/>
          <w:vAlign w:val="center"/>
        </w:tcPr>
        <w:p w14:paraId="58BEDA83" w14:textId="7EC73275" w:rsidR="009C3C7A" w:rsidRDefault="009C3C7A" w:rsidP="009C3C7A">
          <w:pPr>
            <w:pStyle w:val="llb"/>
            <w:jc w:val="center"/>
          </w:pPr>
          <w:r>
            <w:fldChar w:fldCharType="begin"/>
          </w:r>
          <w:r>
            <w:instrText>PAGE   \* MERGEFORMAT</w:instrText>
          </w:r>
          <w:r>
            <w:fldChar w:fldCharType="separate"/>
          </w:r>
          <w:r>
            <w:t>1</w:t>
          </w:r>
          <w:r>
            <w:fldChar w:fldCharType="end"/>
          </w:r>
          <w:r>
            <w:t>. oldal</w:t>
          </w:r>
        </w:p>
      </w:tc>
    </w:tr>
  </w:tbl>
  <w:p w14:paraId="21D56097" w14:textId="77777777" w:rsidR="009C3C7A" w:rsidRDefault="009C3C7A" w:rsidP="009C3C7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0FA6A" w14:textId="77777777" w:rsidR="007917D2" w:rsidRDefault="007917D2" w:rsidP="009C3C7A">
      <w:pPr>
        <w:spacing w:after="0" w:line="240" w:lineRule="auto"/>
      </w:pPr>
      <w:r>
        <w:separator/>
      </w:r>
    </w:p>
  </w:footnote>
  <w:footnote w:type="continuationSeparator" w:id="0">
    <w:p w14:paraId="26024192" w14:textId="77777777" w:rsidR="007917D2" w:rsidRDefault="007917D2" w:rsidP="009C3C7A">
      <w:pPr>
        <w:spacing w:after="0" w:line="240" w:lineRule="auto"/>
      </w:pPr>
      <w:r>
        <w:continuationSeparator/>
      </w:r>
    </w:p>
  </w:footnote>
  <w:footnote w:id="1">
    <w:p w14:paraId="18074635" w14:textId="11E1A68B" w:rsidR="009C3C7A" w:rsidRDefault="009C3C7A">
      <w:pPr>
        <w:pStyle w:val="Lbjegyzetszveg"/>
      </w:pPr>
      <w:r>
        <w:rPr>
          <w:rStyle w:val="Lbjegyzet-hivatkozs"/>
        </w:rPr>
        <w:footnoteRef/>
      </w:r>
      <w:r>
        <w:t xml:space="preserve"> költségvetési egyenleg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30621" w14:textId="348487C6" w:rsidR="009C3C7A" w:rsidRPr="009C3C7A" w:rsidRDefault="009C3C7A" w:rsidP="009C3C7A">
    <w:pPr>
      <w:pStyle w:val="lfej"/>
      <w:jc w:val="right"/>
    </w:pPr>
    <w:r w:rsidRPr="009C3C7A">
      <w:t>Franciaország gazdasága és közlekedése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07466"/>
    <w:multiLevelType w:val="hybridMultilevel"/>
    <w:tmpl w:val="72F46928"/>
    <w:lvl w:ilvl="0" w:tplc="FFFFFFFF">
      <w:start w:val="1"/>
      <w:numFmt w:val="bullet"/>
      <w:lvlText w:val=""/>
      <w:lvlJc w:val="left"/>
      <w:pPr>
        <w:ind w:left="720" w:hanging="360"/>
      </w:pPr>
      <w:rPr>
        <w:rFonts w:ascii="Wingdings" w:hAnsi="Wingdings" w:hint="default"/>
        <w:color w:val="0CAAE2"/>
      </w:rPr>
    </w:lvl>
    <w:lvl w:ilvl="1" w:tplc="D0446542">
      <w:start w:val="1"/>
      <w:numFmt w:val="bullet"/>
      <w:lvlText w:val=""/>
      <w:lvlJc w:val="left"/>
      <w:pPr>
        <w:ind w:left="1440" w:hanging="360"/>
      </w:pPr>
      <w:rPr>
        <w:rFonts w:ascii="Wingdings" w:hAnsi="Wingdings" w:hint="default"/>
        <w:color w:val="000000" w:themeColor="text1"/>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A60130"/>
    <w:multiLevelType w:val="hybridMultilevel"/>
    <w:tmpl w:val="22FA38C6"/>
    <w:lvl w:ilvl="0" w:tplc="22CE8FB6">
      <w:start w:val="1"/>
      <w:numFmt w:val="bullet"/>
      <w:pStyle w:val="Listaszerbekezds"/>
      <w:lvlText w:val=""/>
      <w:lvlJc w:val="left"/>
      <w:pPr>
        <w:ind w:left="720" w:hanging="360"/>
      </w:pPr>
      <w:rPr>
        <w:rFonts w:ascii="Wingdings" w:hAnsi="Wingdings" w:hint="default"/>
        <w:color w:val="0CAAE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F40751"/>
    <w:multiLevelType w:val="hybridMultilevel"/>
    <w:tmpl w:val="BAE0A9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C6B18BF"/>
    <w:multiLevelType w:val="hybridMultilevel"/>
    <w:tmpl w:val="11C8712A"/>
    <w:lvl w:ilvl="0" w:tplc="2ECEDC24">
      <w:start w:val="1"/>
      <w:numFmt w:val="bullet"/>
      <w:lvlText w:val=""/>
      <w:lvlJc w:val="left"/>
      <w:pPr>
        <w:ind w:left="720" w:hanging="360"/>
      </w:pPr>
      <w:rPr>
        <w:rFonts w:ascii="Wingdings" w:hAnsi="Wingdings" w:hint="default"/>
        <w:color w:val="BD1F2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FC3D71"/>
    <w:multiLevelType w:val="hybridMultilevel"/>
    <w:tmpl w:val="70A25FBE"/>
    <w:lvl w:ilvl="0" w:tplc="FFFFFFFF">
      <w:start w:val="1"/>
      <w:numFmt w:val="bullet"/>
      <w:lvlText w:val=""/>
      <w:lvlJc w:val="left"/>
      <w:pPr>
        <w:ind w:left="720" w:hanging="360"/>
      </w:pPr>
      <w:rPr>
        <w:rFonts w:ascii="Wingdings" w:hAnsi="Wingdings" w:hint="default"/>
        <w:color w:val="0CAAE2"/>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D54363"/>
    <w:multiLevelType w:val="hybridMultilevel"/>
    <w:tmpl w:val="11AA2604"/>
    <w:lvl w:ilvl="0" w:tplc="FFFFFFFF">
      <w:start w:val="1"/>
      <w:numFmt w:val="bullet"/>
      <w:lvlText w:val=""/>
      <w:lvlJc w:val="left"/>
      <w:pPr>
        <w:ind w:left="720" w:hanging="360"/>
      </w:pPr>
      <w:rPr>
        <w:rFonts w:ascii="Wingdings" w:hAnsi="Wingdings" w:hint="default"/>
        <w:color w:val="0CAAE2"/>
      </w:rPr>
    </w:lvl>
    <w:lvl w:ilvl="1" w:tplc="FFFFFFFF">
      <w:start w:val="1"/>
      <w:numFmt w:val="bullet"/>
      <w:lvlText w:val="o"/>
      <w:lvlJc w:val="left"/>
      <w:pPr>
        <w:ind w:left="1440" w:hanging="360"/>
      </w:pPr>
      <w:rPr>
        <w:rFonts w:ascii="Courier New" w:hAnsi="Courier New" w:cs="Courier New" w:hint="default"/>
      </w:rPr>
    </w:lvl>
    <w:lvl w:ilvl="2" w:tplc="2D1CF51E">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8230EA"/>
    <w:multiLevelType w:val="hybridMultilevel"/>
    <w:tmpl w:val="C6C03DBE"/>
    <w:lvl w:ilvl="0" w:tplc="FFFFFFFF">
      <w:start w:val="1"/>
      <w:numFmt w:val="bullet"/>
      <w:lvlText w:val=""/>
      <w:lvlJc w:val="left"/>
      <w:pPr>
        <w:ind w:left="720" w:hanging="360"/>
      </w:pPr>
      <w:rPr>
        <w:rFonts w:ascii="Wingdings" w:hAnsi="Wingdings" w:hint="default"/>
        <w:color w:val="0CAAE2"/>
      </w:rPr>
    </w:lvl>
    <w:lvl w:ilvl="1" w:tplc="FFFFFFFF">
      <w:start w:val="1"/>
      <w:numFmt w:val="bullet"/>
      <w:lvlText w:val="o"/>
      <w:lvlJc w:val="left"/>
      <w:pPr>
        <w:ind w:left="1440" w:hanging="360"/>
      </w:pPr>
      <w:rPr>
        <w:rFonts w:ascii="Courier New" w:hAnsi="Courier New" w:cs="Courier New" w:hint="default"/>
      </w:rPr>
    </w:lvl>
    <w:lvl w:ilvl="2" w:tplc="2D1CF51E">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3774502">
    <w:abstractNumId w:val="2"/>
  </w:num>
  <w:num w:numId="2" w16cid:durableId="483279082">
    <w:abstractNumId w:val="3"/>
  </w:num>
  <w:num w:numId="3" w16cid:durableId="1164854250">
    <w:abstractNumId w:val="1"/>
  </w:num>
  <w:num w:numId="4" w16cid:durableId="1159662323">
    <w:abstractNumId w:val="0"/>
  </w:num>
  <w:num w:numId="5" w16cid:durableId="1802183606">
    <w:abstractNumId w:val="4"/>
  </w:num>
  <w:num w:numId="6" w16cid:durableId="895776121">
    <w:abstractNumId w:val="6"/>
  </w:num>
  <w:num w:numId="7" w16cid:durableId="1687555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0E"/>
    <w:rsid w:val="00027A0E"/>
    <w:rsid w:val="00357934"/>
    <w:rsid w:val="006734CA"/>
    <w:rsid w:val="00787544"/>
    <w:rsid w:val="007917D2"/>
    <w:rsid w:val="007F216B"/>
    <w:rsid w:val="0086617F"/>
    <w:rsid w:val="009C3C7A"/>
    <w:rsid w:val="00B26E29"/>
    <w:rsid w:val="00B84BC5"/>
    <w:rsid w:val="00CD2CDB"/>
    <w:rsid w:val="00E12C7F"/>
    <w:rsid w:val="00F8244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ECDC"/>
  <w15:chartTrackingRefBased/>
  <w15:docId w15:val="{8E22D91C-A4D2-4771-94E6-249093BC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26E29"/>
    <w:rPr>
      <w:rFonts w:ascii="Garamond" w:hAnsi="Garamond"/>
      <w:sz w:val="24"/>
      <w:szCs w:val="24"/>
    </w:rPr>
  </w:style>
  <w:style w:type="paragraph" w:styleId="Cmsor1">
    <w:name w:val="heading 1"/>
    <w:basedOn w:val="Norml"/>
    <w:next w:val="Norml"/>
    <w:link w:val="Cmsor1Char"/>
    <w:uiPriority w:val="9"/>
    <w:qFormat/>
    <w:rsid w:val="006734CA"/>
    <w:pPr>
      <w:keepNext/>
      <w:pBdr>
        <w:bottom w:val="single" w:sz="18" w:space="1" w:color="auto"/>
      </w:pBdr>
      <w:spacing w:before="320"/>
      <w:jc w:val="both"/>
      <w:outlineLvl w:val="0"/>
    </w:pPr>
    <w:rPr>
      <w:b/>
      <w:bCs/>
      <w:sz w:val="36"/>
      <w:szCs w:val="36"/>
    </w:rPr>
  </w:style>
  <w:style w:type="paragraph" w:styleId="Cmsor2">
    <w:name w:val="heading 2"/>
    <w:basedOn w:val="Cmsor1"/>
    <w:next w:val="Norml"/>
    <w:link w:val="Cmsor2Char"/>
    <w:uiPriority w:val="9"/>
    <w:unhideWhenUsed/>
    <w:qFormat/>
    <w:rsid w:val="00B26E29"/>
    <w:pPr>
      <w:pBdr>
        <w:bottom w:val="dotted" w:sz="18" w:space="1" w:color="auto"/>
      </w:pBdr>
      <w:outlineLvl w:val="1"/>
    </w:pPr>
    <w:rPr>
      <w:sz w:val="28"/>
      <w:szCs w:val="28"/>
    </w:rPr>
  </w:style>
  <w:style w:type="paragraph" w:styleId="Cmsor3">
    <w:name w:val="heading 3"/>
    <w:basedOn w:val="Norml"/>
    <w:next w:val="Norml"/>
    <w:link w:val="Cmsor3Char"/>
    <w:uiPriority w:val="9"/>
    <w:semiHidden/>
    <w:unhideWhenUsed/>
    <w:qFormat/>
    <w:rsid w:val="00027A0E"/>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027A0E"/>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27A0E"/>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27A0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27A0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27A0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27A0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734CA"/>
    <w:rPr>
      <w:rFonts w:ascii="Garamond" w:hAnsi="Garamond"/>
      <w:b/>
      <w:bCs/>
      <w:sz w:val="36"/>
      <w:szCs w:val="36"/>
    </w:rPr>
  </w:style>
  <w:style w:type="character" w:customStyle="1" w:styleId="Cmsor2Char">
    <w:name w:val="Címsor 2 Char"/>
    <w:basedOn w:val="Bekezdsalapbettpusa"/>
    <w:link w:val="Cmsor2"/>
    <w:uiPriority w:val="9"/>
    <w:rsid w:val="00B26E29"/>
    <w:rPr>
      <w:rFonts w:ascii="Garamond" w:hAnsi="Garamond"/>
      <w:b/>
      <w:bCs/>
      <w:sz w:val="28"/>
      <w:szCs w:val="28"/>
    </w:rPr>
  </w:style>
  <w:style w:type="character" w:customStyle="1" w:styleId="Cmsor3Char">
    <w:name w:val="Címsor 3 Char"/>
    <w:basedOn w:val="Bekezdsalapbettpusa"/>
    <w:link w:val="Cmsor3"/>
    <w:uiPriority w:val="9"/>
    <w:semiHidden/>
    <w:rsid w:val="00027A0E"/>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27A0E"/>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27A0E"/>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27A0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27A0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27A0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27A0E"/>
    <w:rPr>
      <w:rFonts w:eastAsiaTheme="majorEastAsia" w:cstheme="majorBidi"/>
      <w:color w:val="272727" w:themeColor="text1" w:themeTint="D8"/>
    </w:rPr>
  </w:style>
  <w:style w:type="paragraph" w:styleId="Cm">
    <w:name w:val="Title"/>
    <w:basedOn w:val="Norml"/>
    <w:next w:val="Norml"/>
    <w:link w:val="CmChar"/>
    <w:uiPriority w:val="10"/>
    <w:qFormat/>
    <w:rsid w:val="00B26E29"/>
    <w:pPr>
      <w:spacing w:after="0" w:line="240" w:lineRule="auto"/>
      <w:contextualSpacing/>
      <w:jc w:val="center"/>
    </w:pPr>
    <w:rPr>
      <w:rFonts w:eastAsiaTheme="majorEastAsia" w:cstheme="majorBidi"/>
      <w:b/>
      <w:bCs/>
      <w:spacing w:val="-10"/>
      <w:kern w:val="28"/>
      <w:sz w:val="44"/>
      <w:szCs w:val="44"/>
    </w:rPr>
  </w:style>
  <w:style w:type="character" w:customStyle="1" w:styleId="CmChar">
    <w:name w:val="Cím Char"/>
    <w:basedOn w:val="Bekezdsalapbettpusa"/>
    <w:link w:val="Cm"/>
    <w:uiPriority w:val="10"/>
    <w:rsid w:val="00B26E29"/>
    <w:rPr>
      <w:rFonts w:ascii="Garamond" w:eastAsiaTheme="majorEastAsia" w:hAnsi="Garamond" w:cstheme="majorBidi"/>
      <w:b/>
      <w:bCs/>
      <w:spacing w:val="-10"/>
      <w:kern w:val="28"/>
      <w:sz w:val="44"/>
      <w:szCs w:val="44"/>
    </w:rPr>
  </w:style>
  <w:style w:type="paragraph" w:styleId="Alcm">
    <w:name w:val="Subtitle"/>
    <w:basedOn w:val="Norml"/>
    <w:next w:val="Norml"/>
    <w:link w:val="AlcmChar"/>
    <w:uiPriority w:val="11"/>
    <w:qFormat/>
    <w:rsid w:val="00027A0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27A0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27A0E"/>
    <w:pPr>
      <w:spacing w:before="160"/>
      <w:jc w:val="center"/>
    </w:pPr>
    <w:rPr>
      <w:i/>
      <w:iCs/>
      <w:color w:val="404040" w:themeColor="text1" w:themeTint="BF"/>
    </w:rPr>
  </w:style>
  <w:style w:type="character" w:customStyle="1" w:styleId="IdzetChar">
    <w:name w:val="Idézet Char"/>
    <w:basedOn w:val="Bekezdsalapbettpusa"/>
    <w:link w:val="Idzet"/>
    <w:uiPriority w:val="29"/>
    <w:rsid w:val="00027A0E"/>
    <w:rPr>
      <w:i/>
      <w:iCs/>
      <w:color w:val="404040" w:themeColor="text1" w:themeTint="BF"/>
    </w:rPr>
  </w:style>
  <w:style w:type="paragraph" w:styleId="Listaszerbekezds">
    <w:name w:val="List Paragraph"/>
    <w:basedOn w:val="Norml"/>
    <w:uiPriority w:val="34"/>
    <w:qFormat/>
    <w:rsid w:val="00357934"/>
    <w:pPr>
      <w:numPr>
        <w:numId w:val="3"/>
      </w:numPr>
      <w:contextualSpacing/>
      <w:jc w:val="both"/>
    </w:pPr>
  </w:style>
  <w:style w:type="character" w:styleId="Erskiemels">
    <w:name w:val="Intense Emphasis"/>
    <w:basedOn w:val="Bekezdsalapbettpusa"/>
    <w:uiPriority w:val="21"/>
    <w:qFormat/>
    <w:rsid w:val="00027A0E"/>
    <w:rPr>
      <w:i/>
      <w:iCs/>
      <w:color w:val="0F4761" w:themeColor="accent1" w:themeShade="BF"/>
    </w:rPr>
  </w:style>
  <w:style w:type="paragraph" w:styleId="Kiemeltidzet">
    <w:name w:val="Intense Quote"/>
    <w:basedOn w:val="Norml"/>
    <w:next w:val="Norml"/>
    <w:link w:val="KiemeltidzetChar"/>
    <w:uiPriority w:val="30"/>
    <w:qFormat/>
    <w:rsid w:val="00027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27A0E"/>
    <w:rPr>
      <w:i/>
      <w:iCs/>
      <w:color w:val="0F4761" w:themeColor="accent1" w:themeShade="BF"/>
    </w:rPr>
  </w:style>
  <w:style w:type="character" w:styleId="Ershivatkozs">
    <w:name w:val="Intense Reference"/>
    <w:basedOn w:val="Bekezdsalapbettpusa"/>
    <w:uiPriority w:val="32"/>
    <w:qFormat/>
    <w:rsid w:val="00027A0E"/>
    <w:rPr>
      <w:b/>
      <w:bCs/>
      <w:smallCaps/>
      <w:color w:val="0F4761" w:themeColor="accent1" w:themeShade="BF"/>
      <w:spacing w:val="5"/>
    </w:rPr>
  </w:style>
  <w:style w:type="table" w:styleId="Rcsostblzat">
    <w:name w:val="Table Grid"/>
    <w:basedOn w:val="Normltblzat"/>
    <w:uiPriority w:val="39"/>
    <w:rsid w:val="00B26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357934"/>
    <w:pPr>
      <w:spacing w:after="0" w:line="240" w:lineRule="auto"/>
    </w:pPr>
    <w:rPr>
      <w:rFonts w:ascii="Garamond" w:hAnsi="Garamond"/>
      <w:sz w:val="24"/>
      <w:szCs w:val="24"/>
    </w:rPr>
  </w:style>
  <w:style w:type="paragraph" w:styleId="Lbjegyzetszveg">
    <w:name w:val="footnote text"/>
    <w:basedOn w:val="Norml"/>
    <w:link w:val="LbjegyzetszvegChar"/>
    <w:uiPriority w:val="99"/>
    <w:semiHidden/>
    <w:unhideWhenUsed/>
    <w:rsid w:val="009C3C7A"/>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C3C7A"/>
    <w:rPr>
      <w:rFonts w:ascii="Garamond" w:hAnsi="Garamond"/>
      <w:sz w:val="20"/>
      <w:szCs w:val="20"/>
    </w:rPr>
  </w:style>
  <w:style w:type="character" w:styleId="Lbjegyzet-hivatkozs">
    <w:name w:val="footnote reference"/>
    <w:basedOn w:val="Bekezdsalapbettpusa"/>
    <w:uiPriority w:val="99"/>
    <w:semiHidden/>
    <w:unhideWhenUsed/>
    <w:rsid w:val="009C3C7A"/>
    <w:rPr>
      <w:vertAlign w:val="superscript"/>
    </w:rPr>
  </w:style>
  <w:style w:type="paragraph" w:styleId="lfej">
    <w:name w:val="header"/>
    <w:basedOn w:val="Norml"/>
    <w:link w:val="lfejChar"/>
    <w:uiPriority w:val="99"/>
    <w:unhideWhenUsed/>
    <w:rsid w:val="009C3C7A"/>
    <w:pPr>
      <w:tabs>
        <w:tab w:val="center" w:pos="4536"/>
        <w:tab w:val="right" w:pos="9072"/>
      </w:tabs>
      <w:spacing w:after="0" w:line="240" w:lineRule="auto"/>
    </w:pPr>
  </w:style>
  <w:style w:type="character" w:customStyle="1" w:styleId="lfejChar">
    <w:name w:val="Élőfej Char"/>
    <w:basedOn w:val="Bekezdsalapbettpusa"/>
    <w:link w:val="lfej"/>
    <w:uiPriority w:val="99"/>
    <w:rsid w:val="009C3C7A"/>
    <w:rPr>
      <w:rFonts w:ascii="Garamond" w:hAnsi="Garamond"/>
      <w:sz w:val="24"/>
      <w:szCs w:val="24"/>
    </w:rPr>
  </w:style>
  <w:style w:type="paragraph" w:styleId="llb">
    <w:name w:val="footer"/>
    <w:basedOn w:val="Norml"/>
    <w:link w:val="llbChar"/>
    <w:uiPriority w:val="99"/>
    <w:unhideWhenUsed/>
    <w:rsid w:val="009C3C7A"/>
    <w:pPr>
      <w:tabs>
        <w:tab w:val="center" w:pos="4536"/>
        <w:tab w:val="right" w:pos="9072"/>
      </w:tabs>
      <w:spacing w:after="0" w:line="240" w:lineRule="auto"/>
    </w:pPr>
  </w:style>
  <w:style w:type="character" w:customStyle="1" w:styleId="llbChar">
    <w:name w:val="Élőláb Char"/>
    <w:basedOn w:val="Bekezdsalapbettpusa"/>
    <w:link w:val="llb"/>
    <w:uiPriority w:val="99"/>
    <w:rsid w:val="009C3C7A"/>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53833-0751-4348-9F46-C3FA8FDC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714</Words>
  <Characters>4929</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Kornél Patyi</dc:creator>
  <cp:keywords/>
  <dc:description/>
  <cp:lastModifiedBy>Kornél Patyi</cp:lastModifiedBy>
  <cp:revision>4</cp:revision>
  <dcterms:created xsi:type="dcterms:W3CDTF">2025-01-19T19:50:00Z</dcterms:created>
  <dcterms:modified xsi:type="dcterms:W3CDTF">2025-01-19T22:02:00Z</dcterms:modified>
</cp:coreProperties>
</file>