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F9330" w14:textId="77777777" w:rsidR="008C2B99" w:rsidRPr="008C2B99" w:rsidRDefault="008C2B99" w:rsidP="008C2B99">
      <w:pPr>
        <w:pStyle w:val="Cm"/>
      </w:pPr>
      <w:r w:rsidRPr="008C2B99">
        <w:t>Európa</w:t>
      </w:r>
    </w:p>
    <w:p w14:paraId="489E52A8" w14:textId="77777777" w:rsidR="008C2B99" w:rsidRPr="008C2B99" w:rsidRDefault="008C2B99" w:rsidP="008C2B99">
      <w:pPr>
        <w:pStyle w:val="Listaszerbekezds"/>
        <w:numPr>
          <w:ilvl w:val="0"/>
          <w:numId w:val="4"/>
        </w:numPr>
        <w:spacing w:after="120"/>
        <w:ind w:left="425" w:hanging="425"/>
        <w:contextualSpacing w:val="0"/>
      </w:pPr>
      <w:r w:rsidRPr="008C2B99">
        <w:t>Európa Földünk egyik kontinense, amelynek határai nyugaton az Atlanti-óceán, északon a Jeges-tenger, keleten az Urál hegység, az Urál-folyó és a Kaszpi-tenger, délkeleten a Kaukázus vidéke és a Fekete-tenger, délen pedig a Földközi-tenger. Európa Ázsiával együtt alkotja Eurázsiát, amelynek Európa körülbelül az ötödét teszi ki.</w:t>
      </w:r>
    </w:p>
    <w:p w14:paraId="7CD5D609" w14:textId="77777777" w:rsidR="008C2B99" w:rsidRDefault="008C2B99" w:rsidP="008C2B99">
      <w:pPr>
        <w:pStyle w:val="Listaszerbekezds"/>
        <w:numPr>
          <w:ilvl w:val="0"/>
          <w:numId w:val="4"/>
        </w:numPr>
        <w:spacing w:after="120"/>
        <w:ind w:left="425" w:hanging="425"/>
        <w:contextualSpacing w:val="0"/>
      </w:pPr>
      <w:r>
        <w:t>Terület szerint Európa a második legkisebb kontinens, 10 508 000 négyzetkilométerrel, amivel kissé meghaladja Ausztrália területét. Így az összes szárazföld közel tizenötödét teszi ki.</w:t>
      </w:r>
    </w:p>
    <w:p w14:paraId="328123C3" w14:textId="77777777" w:rsidR="008C2B99" w:rsidRDefault="008C2B99" w:rsidP="008C2B99">
      <w:pPr>
        <w:pStyle w:val="Listaszerbekezds"/>
        <w:numPr>
          <w:ilvl w:val="0"/>
          <w:numId w:val="4"/>
        </w:numPr>
        <w:spacing w:after="120"/>
        <w:ind w:left="425" w:hanging="425"/>
        <w:contextualSpacing w:val="0"/>
      </w:pPr>
      <w:r>
        <w:t>Népesség alapján a negyedik helyen áll Ázsia, Afrika és Amerika után. 2001-ben Európa népességét körülbelül 666,5 millió főre becsülték, ami a Föld akkori népességének kilencede.</w:t>
      </w:r>
    </w:p>
    <w:p w14:paraId="1F45B97F" w14:textId="77777777" w:rsidR="008C2B99" w:rsidRDefault="008C2B99" w:rsidP="008C2B99">
      <w:pPr>
        <w:pStyle w:val="Listaszerbekezds"/>
        <w:numPr>
          <w:ilvl w:val="0"/>
          <w:numId w:val="4"/>
        </w:numPr>
        <w:spacing w:after="120"/>
        <w:ind w:left="425" w:hanging="425"/>
        <w:contextualSpacing w:val="0"/>
      </w:pPr>
      <w:r>
        <w:t>A kontinens kifejezés gyakran csak a földrész összefüggő szárazföldi területeit jelenti a vele szomszédos szigetek nélkül, ezt főleg a szigeteken (pl. Nagy Britannia) élők szokták használni, mikor Európa kontinentális részére utalnak.</w:t>
      </w:r>
    </w:p>
    <w:p w14:paraId="12E23916" w14:textId="77777777" w:rsidR="007F1F17" w:rsidRDefault="008C2B99" w:rsidP="007F1F17">
      <w:pPr>
        <w:pStyle w:val="kp"/>
        <w:spacing w:before="24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sectPr w:rsidR="007F1F17" w:rsidSect="007F1F17">
          <w:footerReference w:type="even" r:id="rId8"/>
          <w:pgSz w:w="11906" w:h="16838"/>
          <w:pgMar w:top="1417" w:right="1417" w:bottom="1417" w:left="1417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drawing>
          <wp:inline distT="0" distB="0" distL="0" distR="0" wp14:anchorId="4C97E4CE" wp14:editId="3B6B3ED4">
            <wp:extent cx="4537905" cy="4461873"/>
            <wp:effectExtent l="0" t="0" r="0" b="0"/>
            <wp:docPr id="520193327" name="Kép 1" descr="A képen bolygó, gömb, Föld, Égites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93327" name="Kép 1" descr="A képen bolygó, gömb, Föld, Égites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57" cy="447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05D1" w14:textId="30FD42D4" w:rsidR="008C2B99" w:rsidRPr="008C2B99" w:rsidRDefault="008C2B99" w:rsidP="008C2B99">
      <w:pPr>
        <w:pStyle w:val="Cmsor1"/>
      </w:pPr>
      <w:bookmarkStart w:id="0" w:name="_Toc192012477"/>
      <w:r w:rsidRPr="008C2B99">
        <w:lastRenderedPageBreak/>
        <w:t>A név eredete</w:t>
      </w:r>
      <w:bookmarkEnd w:id="0"/>
    </w:p>
    <w:p w14:paraId="3CEE041C" w14:textId="77777777" w:rsidR="008C2B99" w:rsidRDefault="008C2B99" w:rsidP="008C2B99">
      <w:proofErr w:type="gramStart"/>
      <w:r>
        <w:t>Európa</w:t>
      </w:r>
      <w:proofErr w:type="gramEnd"/>
      <w:r>
        <w:t xml:space="preserve"> mint földrajzi terület első említése a Homéroszi himnuszokban, azokon belül is az Apollónhoz írottban található. Eredetileg Közép-Görögország neve volt, később egész Görögországot így nevezték, végül i. e. 500 körül a Görögországtól északra fekvő összes területet is. Az Európa szó eredetét leggyakrabban a görög </w:t>
      </w:r>
      <w:proofErr w:type="spellStart"/>
      <w:r>
        <w:t>eurüsz</w:t>
      </w:r>
      <w:proofErr w:type="spellEnd"/>
      <w:r>
        <w:t xml:space="preserve"> (széles vagy szép) és </w:t>
      </w:r>
      <w:proofErr w:type="spellStart"/>
      <w:r>
        <w:t>opsz</w:t>
      </w:r>
      <w:proofErr w:type="spellEnd"/>
      <w:r>
        <w:t xml:space="preserve"> (arc) szavakra vezetik vissza. Más vélemények szerint a szó sémi eredetű, és az </w:t>
      </w:r>
      <w:proofErr w:type="spellStart"/>
      <w:r>
        <w:t>ereb</w:t>
      </w:r>
      <w:proofErr w:type="spellEnd"/>
      <w:r>
        <w:t xml:space="preserve"> (naplemente) szóból eredhet – közel-keleti nézőpontból a nap a nyugaton elterülő földek mögött nyugszik le. Egyébként a szintén hasonló latin </w:t>
      </w:r>
      <w:proofErr w:type="spellStart"/>
      <w:r>
        <w:t>eurus</w:t>
      </w:r>
      <w:proofErr w:type="spellEnd"/>
      <w:r>
        <w:t xml:space="preserve"> szó a keleti szelet jelenti. A görög mitológia elbeszélése szerint </w:t>
      </w:r>
      <w:proofErr w:type="spellStart"/>
      <w:r>
        <w:t>Európé</w:t>
      </w:r>
      <w:proofErr w:type="spellEnd"/>
      <w:r>
        <w:t xml:space="preserve"> föníciai királylány volt, akit Zeusz bika alakjában </w:t>
      </w:r>
      <w:proofErr w:type="spellStart"/>
      <w:r>
        <w:t>rabolt</w:t>
      </w:r>
      <w:proofErr w:type="spellEnd"/>
      <w:r>
        <w:t xml:space="preserve"> el. Közös gyermekeik Minósz, </w:t>
      </w:r>
      <w:proofErr w:type="spellStart"/>
      <w:r>
        <w:t>Rhadamanthüsz</w:t>
      </w:r>
      <w:proofErr w:type="spellEnd"/>
      <w:r>
        <w:t xml:space="preserve"> és </w:t>
      </w:r>
      <w:proofErr w:type="spellStart"/>
      <w:r>
        <w:t>Szarpédón</w:t>
      </w:r>
      <w:proofErr w:type="spellEnd"/>
      <w:r>
        <w:t xml:space="preserve"> lettek.</w:t>
      </w:r>
    </w:p>
    <w:p w14:paraId="12207034" w14:textId="77777777" w:rsidR="008C2B99" w:rsidRDefault="008C2B99" w:rsidP="008C2B99">
      <w:pPr>
        <w:pStyle w:val="Cmsor1"/>
      </w:pPr>
      <w:bookmarkStart w:id="1" w:name="_Toc192012478"/>
      <w:r w:rsidRPr="008C2B99">
        <w:t>Földrajz</w:t>
      </w:r>
      <w:bookmarkEnd w:id="1"/>
    </w:p>
    <w:p w14:paraId="017D400E" w14:textId="77777777" w:rsidR="008C2B99" w:rsidRPr="008C2B99" w:rsidRDefault="008C2B99" w:rsidP="007F1F17">
      <w:pPr>
        <w:pStyle w:val="Cmsor2"/>
      </w:pPr>
      <w:bookmarkStart w:id="2" w:name="_Toc192012479"/>
      <w:r w:rsidRPr="007F1F17">
        <w:t>Fekvése</w:t>
      </w:r>
      <w:bookmarkEnd w:id="2"/>
    </w:p>
    <w:p w14:paraId="3D0EFF4D" w14:textId="77777777" w:rsidR="008C2B99" w:rsidRDefault="008C2B99" w:rsidP="008C2B99">
      <w:r>
        <w:t xml:space="preserve">Európa a Föld északi és keleti félgömbjén elterülő kontinens. Kis része átnyúlik a nyugati félgömbre is. Rajta halad át a kezdő hosszúsági kör. Keleten szorosan összefügg Ázsiával, közös nevük Eurázsia. A két kontinens pontos határa megállapodás kérdése, nincs egyértelmű földrajzi határ. A ma leginkább elfogadott határvonal: a Dardanellák, a Boszporusz, a Fekete-tenger, a Nagy-Kaukázus vízválasztó vonala, a Kaszpi-tenger északnyugati része, az Urál folyó és az Urál hegység egészen a Jeges-tengerig. A kontinenst Észak-, Dél-, Nyugat-, Kelet- és Közép-Európára osztják. Európa partvonala a legtagoltabb a kontinensek közül. Nagy félszigetei: Skandináv-, a Pireneusi-, az </w:t>
      </w:r>
      <w:proofErr w:type="spellStart"/>
      <w:r>
        <w:t>Appennini</w:t>
      </w:r>
      <w:proofErr w:type="spellEnd"/>
      <w:r>
        <w:t xml:space="preserve">- és a Balkán-félsziget. Szárazföldre benyúló legnagyobb tengerei: a Balti-, az Adriai- és az Égei-tenger. Szigetei közül az Atlanti-óceánban a távolabb fekvő Izland és a Brit-sziget a legjelentősebbek. A Földközi-tenger szigetei közül a legnagyobbak: Korzika, Szardínia és Szicília. A Balti-tenger legnagyobb tengeröble a </w:t>
      </w:r>
      <w:proofErr w:type="spellStart"/>
      <w:r>
        <w:t>Botteni</w:t>
      </w:r>
      <w:proofErr w:type="spellEnd"/>
      <w:r>
        <w:t>-öböl.</w:t>
      </w:r>
    </w:p>
    <w:p w14:paraId="0364F8E1" w14:textId="77777777" w:rsidR="008C2B99" w:rsidRDefault="008C2B99" w:rsidP="008C2B99">
      <w:r>
        <w:t>Európa partjait a Skandináv-félszigeten és Brit-szigetek ÉNy-i vonalán hosszú, keskeny, mély, meredek falú, elágazó tengeröblök: a fjordok csipkézik. Völgyüket eredetileg a folyók rajzolták ki. A jégkorszaki jégtakaró tengerbe nyúló gleccserei tovább mélyítették a völgyeket, és ezek a jég elolvadása után öblökké váltak. Kijáratuknál számtalan sziklasziget található. Egészen más a Balti-tenger partvidéke, ahol a tenger építő munkát végez. A lapos parton a hullámok kifutnak a szárazföldre. A partok előtt lerakott hordalékokból homokgátak – turzások – keletkeznek. A turzások néhol tengeröblökké zárnak el: ezek a lagúnák. A partra sodort homokot a szél munkálja tovább. Dűnékbe halmozza, és – növényzet híján – tovább is vándoroltatja. Ismét más képet mutatnak a partok az Atlanti partvidéken. Itt a magas partokat a tengerjárás és a hullámverés állandóan pusztítja.</w:t>
      </w:r>
    </w:p>
    <w:p w14:paraId="53AC8EC1" w14:textId="77777777" w:rsidR="008C2B99" w:rsidRDefault="008C2B99" w:rsidP="007F1F17">
      <w:pPr>
        <w:pStyle w:val="Cmsor2"/>
      </w:pPr>
      <w:bookmarkStart w:id="3" w:name="_Toc192012480"/>
      <w:r>
        <w:t>Keletkezése</w:t>
      </w:r>
      <w:bookmarkEnd w:id="3"/>
    </w:p>
    <w:p w14:paraId="1DED52BD" w14:textId="77777777" w:rsidR="008C2B99" w:rsidRDefault="008C2B99" w:rsidP="008C2B99">
      <w:r>
        <w:t xml:space="preserve">Európa </w:t>
      </w:r>
      <w:proofErr w:type="spellStart"/>
      <w:r>
        <w:t>legrégebbi</w:t>
      </w:r>
      <w:proofErr w:type="spellEnd"/>
      <w:r>
        <w:t xml:space="preserve"> területe a Balti-ősföld és az Ukrán-pajzs (</w:t>
      </w:r>
      <w:proofErr w:type="spellStart"/>
      <w:r>
        <w:t>Kelet-európai</w:t>
      </w:r>
      <w:proofErr w:type="spellEnd"/>
      <w:r>
        <w:t xml:space="preserve"> tábla). A földtörténet folyamán merev kéregdarabként állt ellen a szerkezeti mozgásoknak, de erősen lepusztult. Így ásványkincsei a felszín közelébe kerültek, ezért könnyen bányászhatók. Ilyenek a vasérc, nikkelérc, rézérc. Az ősföld kőzetanyaga a Finn-tóvidék területén bukkan a felszínre.</w:t>
      </w:r>
    </w:p>
    <w:p w14:paraId="348BE138" w14:textId="77777777" w:rsidR="008C2B99" w:rsidRDefault="008C2B99" w:rsidP="008C2B99">
      <w:r>
        <w:lastRenderedPageBreak/>
        <w:t xml:space="preserve">A paleozoikumban óceánok semmisültek meg, és hatalmas hegységrendszerek emelkedtek a Föld felszínén. Legnagyobb ívük a </w:t>
      </w:r>
      <w:proofErr w:type="spellStart"/>
      <w:r>
        <w:t>Kaledóniai</w:t>
      </w:r>
      <w:proofErr w:type="spellEnd"/>
      <w:r>
        <w:t xml:space="preserve">- és a </w:t>
      </w:r>
      <w:proofErr w:type="spellStart"/>
      <w:r>
        <w:t>Variszkuszi</w:t>
      </w:r>
      <w:proofErr w:type="spellEnd"/>
      <w:r>
        <w:t xml:space="preserve"> hegységrendszer volt, amely ma a legtöbb európai röghegység alapja. Peremük övezetében gazdag kőszéntelepek képződtek. A kontinens </w:t>
      </w:r>
      <w:proofErr w:type="spellStart"/>
      <w:r>
        <w:t>óidőben</w:t>
      </w:r>
      <w:proofErr w:type="spellEnd"/>
      <w:r>
        <w:t xml:space="preserve"> keletkezett, ma már rögökre töredezett, lepusztult hegységei: a Skandináv-hegység, a Brit szigetek hegységei, a Francia-, a Lengyel-, a Német-középhegység, a Cseh-medence peremhegységei, a kontinensválasztó Urál és Magyarországon a Velencei-hegység. A középidő ismétlődő tengeri elöntései során Európa területén vastag üledékrétegek rakódtak le. Befedték az ősföld egyes részeit, belegyűrődtek a felboltozódó hegyláncokba, kitöltötték a medencéket. Belőlük később lépcsős felszínek is kialakultak.</w:t>
      </w:r>
    </w:p>
    <w:p w14:paraId="754C02E6" w14:textId="33D086DD" w:rsidR="008C2B99" w:rsidRDefault="008C2B99" w:rsidP="008C2B99">
      <w:r>
        <w:t xml:space="preserve">A középidő üledékes kőzetei: a homokkő, a mészkő és a dolomit. Ekkor keletkezett a kősó, a kőolaj, a földgáz és a szárazföldeken a bauxit is. Az </w:t>
      </w:r>
      <w:proofErr w:type="spellStart"/>
      <w:r>
        <w:t>újidő</w:t>
      </w:r>
      <w:proofErr w:type="spellEnd"/>
      <w:r>
        <w:t xml:space="preserve"> harmadidőszakának legnagyobb eseménye az eurázsiai-hegységrendszer felgyűrődése volt. Hegységei Európában: a Pireneusok, az Alpok, az Appenninek a Kárpátok, a Dinári-hegység, s Balkán-hegység és a Kaukázus. A harmadidőszakból származnak a kontinens legnagyobb </w:t>
      </w:r>
      <w:proofErr w:type="spellStart"/>
      <w:r>
        <w:t>barnakőszéntelepei</w:t>
      </w:r>
      <w:proofErr w:type="spellEnd"/>
      <w:r>
        <w:t xml:space="preserve">, de ekkor képződött a kőolaj és a földgáz túlnyomó része is. Az </w:t>
      </w:r>
      <w:proofErr w:type="spellStart"/>
      <w:r>
        <w:t>újidő</w:t>
      </w:r>
      <w:proofErr w:type="spellEnd"/>
      <w:r>
        <w:t xml:space="preserve"> negyedidőszakában a felszínt a kontinens északi részén többször is </w:t>
      </w:r>
      <w:proofErr w:type="spellStart"/>
      <w:r>
        <w:t>előrenyomuló</w:t>
      </w:r>
      <w:proofErr w:type="spellEnd"/>
      <w:r>
        <w:t xml:space="preserve"> jégtakaró formálta. Vastagsága néhol a 2000 m-t is meghaladja. Legnagyobb kiterjedése idején lenyúlt az é.sz. 50°-</w:t>
      </w:r>
      <w:proofErr w:type="spellStart"/>
      <w:r>
        <w:t>áig</w:t>
      </w:r>
      <w:proofErr w:type="spellEnd"/>
      <w:r>
        <w:t xml:space="preserve">. Lassú mozgásával lecsiszolta a felszínt, és tómedencék ezreit mélyítette ki. Így alakultak ki a Skandináv-hegység jég gyalulta fennsíkjai, a Kelet-európai-síkság hátságokkal tarkított tökéletlen síksága és a Finn-tóvidék. Délen a jégtakaró visszamaradt törmelékei halmozódtak fel a morénavidékeken. Ilyen területek találhatók a Kelet-európai-síkság északi részén, a Germán-alföldön és a Lengyel-alföldön. A hidegre forduló éghajlat alatt a jégtakaró környéki magashegységek a hóhatár alacsonyabbra kerülése miatt szintén eljegesedtek. A területekről lecsúszó gleccserek és a jég csiszoló munkáját csipkézett hegygerinceik, merész csúcsaik máig is </w:t>
      </w:r>
      <w:proofErr w:type="spellStart"/>
      <w:r>
        <w:t>őrzik</w:t>
      </w:r>
      <w:proofErr w:type="spellEnd"/>
      <w:r>
        <w:t>. Az erős, száraz szelek a jégtakarótól délre fekvő síkságokon hatalmas porfelhőket kavartak. A leülepedő porból később lösztakarók képződtek.</w:t>
      </w:r>
    </w:p>
    <w:p w14:paraId="00181E6E" w14:textId="6E8EDCD1" w:rsidR="008C2B99" w:rsidRDefault="008C2B99" w:rsidP="007F1F17">
      <w:pPr>
        <w:pStyle w:val="Cmsor2"/>
      </w:pPr>
      <w:bookmarkStart w:id="4" w:name="_Toc192012481"/>
      <w:r>
        <w:t>Izland</w:t>
      </w:r>
      <w:bookmarkEnd w:id="4"/>
    </w:p>
    <w:p w14:paraId="38541297" w14:textId="1EC1D6D2" w:rsidR="008C2B99" w:rsidRDefault="007F1F17" w:rsidP="008C2B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7C55B" wp14:editId="3430FA4E">
                <wp:simplePos x="0" y="0"/>
                <wp:positionH relativeFrom="column">
                  <wp:posOffset>3223260</wp:posOffset>
                </wp:positionH>
                <wp:positionV relativeFrom="paragraph">
                  <wp:posOffset>1965325</wp:posOffset>
                </wp:positionV>
                <wp:extent cx="2529840" cy="274955"/>
                <wp:effectExtent l="0" t="0" r="3810" b="0"/>
                <wp:wrapSquare wrapText="bothSides"/>
                <wp:docPr id="196414778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274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6784D" w14:textId="377B5838" w:rsidR="007F1F17" w:rsidRPr="007F1F17" w:rsidRDefault="007F1F17" w:rsidP="007F1F17">
                            <w:pPr>
                              <w:pStyle w:val="Kpalrs"/>
                            </w:pPr>
                            <w:r w:rsidRPr="007F1F17">
                              <w:t>Műholdkép Izlandról télen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7C55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53.8pt;margin-top:154.75pt;width:199.2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" stroked="f">
                <v:textbox inset="0,0,0,0">
                  <w:txbxContent>
                    <w:p w14:paraId="1F06784D" w14:textId="377B5838" w:rsidR="007F1F17" w:rsidRPr="007F1F17" w:rsidRDefault="007F1F17" w:rsidP="007F1F17">
                      <w:pPr>
                        <w:pStyle w:val="Kpalrs"/>
                      </w:pPr>
                      <w:r w:rsidRPr="007F1F17">
                        <w:t>Műholdkép Izlandról télen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44145" distR="144145" simplePos="0" relativeHeight="251658240" behindDoc="0" locked="0" layoutInCell="1" allowOverlap="1" wp14:anchorId="627B65F9" wp14:editId="66F5308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34285" cy="1951355"/>
            <wp:effectExtent l="0" t="0" r="0" b="0"/>
            <wp:wrapSquare wrapText="bothSides"/>
            <wp:docPr id="58757443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B99">
        <w:t xml:space="preserve">Izland szigetét a lemezhatárok nyugtalan földjeként is szokták nevezni. Izland Európa második legnagyobb szigete. A tűz és jég országaként is szokták emlegetni. Területe az Észak-atlanti-hátság tengerszint fölé emelkedő nyúlványán született: az Eurázsiai- és az Észak-Amerikai-tábla távolodó lemezeivel. A lemezmozgások miatt nyugtalan föld 140 tűzhányóból kb. 30 ma is működik. Legnagyobb vulkánja a </w:t>
      </w:r>
      <w:proofErr w:type="spellStart"/>
      <w:r w:rsidR="008C2B99">
        <w:t>Heklának</w:t>
      </w:r>
      <w:proofErr w:type="spellEnd"/>
      <w:r w:rsidR="008C2B99">
        <w:t xml:space="preserve"> és társainak a kitörései nemcsak a belső lakatlan területekre, hanem a part menti vidékekre is lávát és hamuesőt zúdítanak. A sok apró gejzír és egyéb meleg forrás is a vulkanizmus következménye a szigeten. A kőzetek közötti repedésekbe beszivárgó víz ugyanis – a felszín közeli forró vulkáni anyagok hatására – gyorsan felmelegszik, és a mélybe jutva nagy nyomás alá kerül. Időszakonként aztán forró szökőkútként, gejzírként tör a magasba. (Meleg vizükkel melegházakat, szabadtéri fürdőket fűtenek és energiát termelnek.) A sziget a jég országa is (Izland=jeges föld). Területének több mint tizedét hatalmas gleccserek borítják. A rájuk hulló lávától megolvadva gyakran hatalmas árvizeket okoznak.</w:t>
      </w:r>
    </w:p>
    <w:p w14:paraId="0C5A0047" w14:textId="0AE7BACE" w:rsidR="008C2B99" w:rsidRDefault="008C2B99" w:rsidP="007F1F17">
      <w:pPr>
        <w:pStyle w:val="Cmsor2"/>
      </w:pPr>
      <w:bookmarkStart w:id="5" w:name="_Toc192012482"/>
      <w:r>
        <w:lastRenderedPageBreak/>
        <w:t>Vízrajza</w:t>
      </w:r>
      <w:bookmarkEnd w:id="5"/>
    </w:p>
    <w:p w14:paraId="73C9679A" w14:textId="3FD37087" w:rsidR="008C2B99" w:rsidRDefault="007F1F17" w:rsidP="008C2B9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0BBE4" wp14:editId="349704ED">
                <wp:simplePos x="0" y="0"/>
                <wp:positionH relativeFrom="column">
                  <wp:posOffset>0</wp:posOffset>
                </wp:positionH>
                <wp:positionV relativeFrom="paragraph">
                  <wp:posOffset>2076450</wp:posOffset>
                </wp:positionV>
                <wp:extent cx="2638425" cy="635"/>
                <wp:effectExtent l="0" t="0" r="0" b="0"/>
                <wp:wrapSquare wrapText="bothSides"/>
                <wp:docPr id="187489859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3275C4" w14:textId="49FA2C2A" w:rsidR="007F1F17" w:rsidRPr="004E2EFA" w:rsidRDefault="007F1F17" w:rsidP="007F1F17">
                            <w:pPr>
                              <w:pStyle w:val="Kpalrs"/>
                            </w:pPr>
                            <w:r>
                              <w:t>A Volga Jaroszlavnál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0BBE4" id="_x0000_s1027" type="#_x0000_t202" style="position:absolute;left:0;text-align:left;margin-left:0;margin-top:163.5pt;width:20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7ZGQIAAD8EAAAOAAAAZHJzL2Uyb0RvYy54bWysU8Fu2zAMvQ/YPwi6L07SNSi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d0dnP3eXrLmaTY7OY2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" stroked="f">
                <v:textbox style="mso-fit-shape-to-text:t" inset="0,0,0,0">
                  <w:txbxContent>
                    <w:p w14:paraId="7A3275C4" w14:textId="49FA2C2A" w:rsidR="007F1F17" w:rsidRPr="004E2EFA" w:rsidRDefault="007F1F17" w:rsidP="007F1F17">
                      <w:pPr>
                        <w:pStyle w:val="Kpalrs"/>
                      </w:pPr>
                      <w:r>
                        <w:t>A Volga Jaroszlavnál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DC3BF7" wp14:editId="1D7D3208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2638425" cy="1979930"/>
            <wp:effectExtent l="0" t="0" r="9525" b="1270"/>
            <wp:wrapSquare wrapText="bothSides"/>
            <wp:docPr id="150455205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34" cy="198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B99">
        <w:t xml:space="preserve">Európa folyóinak többsége az Atlanti-óceánba és a Földközi-tengerbe, illetve melléktengereikbe viszi vizét. A nyílt óceánba ömlő folyók általában tölcsértorkolatúak, míg a Földközi-tengerbe igyekvők deltát építenek. Európa legnagyobb folyója a Kaszpi-tengert deltatorkolattal elérő Volga. Vízgyűjtője, a Kelet-európai-síkság keleti része lefolyástalan terület. A síkság másik két folyója, a Dnyeper és a Don a Fekete-tengerbe ömlik. Közép-Európa fő folyója a Duna. Közel 3000 km-t fut be, míg deltája eléri a Fekete-tengert. Nyugat-Európa két leghosszabb folyója a Rajna és az Elba. Az előbbit csatorna köti össze a Dunával. Az Atlanti-óceánt közvetlenül éri el a Loire és a Tajo. Dél-Európa Földközi-tengerbe ömlő folyói általában kisebbek. Közöttük legjelentősebb a </w:t>
      </w:r>
      <w:proofErr w:type="spellStart"/>
      <w:r w:rsidR="008C2B99">
        <w:t>Rhône</w:t>
      </w:r>
      <w:proofErr w:type="spellEnd"/>
      <w:r w:rsidR="008C2B99">
        <w:t xml:space="preserve">, a Pó és az Ebro. Európa területén sok a tó. Északon a jégvájta mélyedéseket töltik ki. A </w:t>
      </w:r>
      <w:proofErr w:type="spellStart"/>
      <w:r w:rsidR="008C2B99">
        <w:t>kelet-európai</w:t>
      </w:r>
      <w:proofErr w:type="spellEnd"/>
      <w:r w:rsidR="008C2B99">
        <w:t xml:space="preserve"> síkság legnagyobb </w:t>
      </w:r>
      <w:proofErr w:type="spellStart"/>
      <w:r w:rsidR="008C2B99">
        <w:t>tava</w:t>
      </w:r>
      <w:proofErr w:type="spellEnd"/>
      <w:r w:rsidR="008C2B99">
        <w:t xml:space="preserve">, a Ladoga-tó is így keletkezett. A magashegységekben található apró, kristálytiszta vizű tavak, a „tengerszemek” medencéit is jég vájta ki. A jégárak morénasáncai gátolták el az Alpok peremén Európa legszebb </w:t>
      </w:r>
      <w:proofErr w:type="spellStart"/>
      <w:r w:rsidR="008C2B99">
        <w:t>tavainak</w:t>
      </w:r>
      <w:proofErr w:type="spellEnd"/>
      <w:r w:rsidR="008C2B99">
        <w:t xml:space="preserve"> füzérét. (Tagjai pl. a Garda-tó, a </w:t>
      </w:r>
      <w:proofErr w:type="spellStart"/>
      <w:r w:rsidR="008C2B99">
        <w:t>Largo</w:t>
      </w:r>
      <w:proofErr w:type="spellEnd"/>
      <w:r w:rsidR="008C2B99">
        <w:t xml:space="preserve"> </w:t>
      </w:r>
      <w:proofErr w:type="spellStart"/>
      <w:r w:rsidR="008C2B99">
        <w:t>Maggiore</w:t>
      </w:r>
      <w:proofErr w:type="spellEnd"/>
      <w:r w:rsidR="008C2B99">
        <w:t xml:space="preserve">, a </w:t>
      </w:r>
      <w:proofErr w:type="spellStart"/>
      <w:r w:rsidR="008C2B99">
        <w:t>Comói</w:t>
      </w:r>
      <w:proofErr w:type="spellEnd"/>
      <w:r w:rsidR="008C2B99">
        <w:t xml:space="preserve">-tó.) </w:t>
      </w:r>
      <w:proofErr w:type="spellStart"/>
      <w:r w:rsidR="008C2B99">
        <w:t>Süllyedékben</w:t>
      </w:r>
      <w:proofErr w:type="spellEnd"/>
      <w:r w:rsidR="008C2B99">
        <w:t xml:space="preserve"> keletkezett Közép-Európa legnagyobb </w:t>
      </w:r>
      <w:proofErr w:type="spellStart"/>
      <w:r w:rsidR="008C2B99">
        <w:t>tava</w:t>
      </w:r>
      <w:proofErr w:type="spellEnd"/>
      <w:r w:rsidR="008C2B99">
        <w:t>, a Balaton.</w:t>
      </w:r>
    </w:p>
    <w:p w14:paraId="68F58FE5" w14:textId="77777777" w:rsidR="00747EA2" w:rsidRDefault="00747EA2" w:rsidP="00747EA2">
      <w:pPr>
        <w:pStyle w:val="Nincstrkz"/>
      </w:pPr>
      <w:r>
        <w:rPr>
          <w:noProof/>
        </w:rPr>
        <w:drawing>
          <wp:inline distT="0" distB="0" distL="0" distR="0" wp14:anchorId="5473CB48" wp14:editId="35472E58">
            <wp:extent cx="5729605" cy="3723968"/>
            <wp:effectExtent l="0" t="0" r="4445" b="10160"/>
            <wp:docPr id="423708495" name="Diagra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FFFEB9" w14:textId="2C7EF914" w:rsidR="00747EA2" w:rsidRDefault="00747EA2" w:rsidP="00747EA2">
      <w:pPr>
        <w:pStyle w:val="Kpalrs"/>
      </w:pPr>
      <w:r>
        <w:t>Európa leghosszabb folyói becsült hosszukkal</w:t>
      </w:r>
    </w:p>
    <w:p w14:paraId="1098678C" w14:textId="77777777" w:rsidR="008C2B99" w:rsidRDefault="008C2B99" w:rsidP="008C2B99">
      <w:pPr>
        <w:pStyle w:val="Cmsor1"/>
      </w:pPr>
      <w:bookmarkStart w:id="6" w:name="_Toc192012483"/>
      <w:r>
        <w:lastRenderedPageBreak/>
        <w:t>Régiók</w:t>
      </w:r>
      <w:bookmarkEnd w:id="6"/>
    </w:p>
    <w:p w14:paraId="41C92F37" w14:textId="77777777" w:rsidR="008C2B99" w:rsidRDefault="008C2B99" w:rsidP="00747EA2">
      <w:pPr>
        <w:pStyle w:val="Listaszerbekezds"/>
        <w:numPr>
          <w:ilvl w:val="0"/>
          <w:numId w:val="5"/>
        </w:numPr>
      </w:pPr>
      <w:r>
        <w:t>Dél-Európa</w:t>
      </w:r>
    </w:p>
    <w:p w14:paraId="5E252426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Málta</w:t>
      </w:r>
    </w:p>
    <w:p w14:paraId="51E8B778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Olaszország, San Marino, Vatikán (együtt: az Appennini-félsziget államai)</w:t>
      </w:r>
    </w:p>
    <w:p w14:paraId="67D3657C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Spanyolország, Portugália, Andorra (együtt: az Ibériai-félsziget államai)</w:t>
      </w:r>
    </w:p>
    <w:p w14:paraId="33E93FA8" w14:textId="77777777" w:rsidR="008C2B99" w:rsidRDefault="008C2B99" w:rsidP="00747EA2">
      <w:pPr>
        <w:pStyle w:val="Listaszerbekezds"/>
        <w:numPr>
          <w:ilvl w:val="0"/>
          <w:numId w:val="5"/>
        </w:numPr>
      </w:pPr>
      <w:r>
        <w:t>Észak-Európa</w:t>
      </w:r>
    </w:p>
    <w:p w14:paraId="163BE24E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Izland, Finnország (a skandináv országokkal együtt: északi államok)</w:t>
      </w:r>
    </w:p>
    <w:p w14:paraId="12658EC0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Norvégia, Svédország, Dánia (együtt: Skandináv országok)</w:t>
      </w:r>
    </w:p>
    <w:p w14:paraId="5D220901" w14:textId="77777777" w:rsidR="008C2B99" w:rsidRDefault="008C2B99" w:rsidP="00747EA2">
      <w:pPr>
        <w:pStyle w:val="Listaszerbekezds"/>
        <w:numPr>
          <w:ilvl w:val="0"/>
          <w:numId w:val="5"/>
        </w:numPr>
      </w:pPr>
      <w:r>
        <w:t>Délkelet-Európa (a Balkán-félsziget államai)</w:t>
      </w:r>
    </w:p>
    <w:p w14:paraId="7DC06079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Horvátország, Bosznia-Hercegovina, Szerbia, Montenegró, Koszovó, Albánia, Észak-Macedónia, Görögország, Bulgária, Törökország (európai rész)</w:t>
      </w:r>
    </w:p>
    <w:p w14:paraId="5841FE7D" w14:textId="77777777" w:rsidR="008C2B99" w:rsidRDefault="008C2B99" w:rsidP="00747EA2">
      <w:pPr>
        <w:pStyle w:val="Listaszerbekezds"/>
        <w:numPr>
          <w:ilvl w:val="0"/>
          <w:numId w:val="5"/>
        </w:numPr>
      </w:pPr>
      <w:r>
        <w:t>Kelet-Európa</w:t>
      </w:r>
    </w:p>
    <w:p w14:paraId="76CCD70D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Fehéroroszország, Ukrajna, Moldova, Grúzia (európai rész), Oroszország (európai rész), Kazahsztán (európai rész), Azerbajdzsán (európai rész) (együtt: Európai FÁK-államok)</w:t>
      </w:r>
    </w:p>
    <w:p w14:paraId="2B62FF2A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Észtország, Lettország, Litvánia (együtt: Balti országok)</w:t>
      </w:r>
    </w:p>
    <w:p w14:paraId="0FE3C866" w14:textId="77777777" w:rsidR="008C2B99" w:rsidRDefault="008C2B99" w:rsidP="00747EA2">
      <w:pPr>
        <w:pStyle w:val="Listaszerbekezds"/>
        <w:numPr>
          <w:ilvl w:val="0"/>
          <w:numId w:val="5"/>
        </w:numPr>
      </w:pPr>
      <w:r>
        <w:t>Közép-Európa</w:t>
      </w:r>
    </w:p>
    <w:p w14:paraId="308BB83D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Lengyelország, Csehország, Szlovákia, Magyarország (visegrádi országok</w:t>
      </w:r>
    </w:p>
    <w:p w14:paraId="7B27C510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Németország</w:t>
      </w:r>
    </w:p>
    <w:p w14:paraId="3FBFECE6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Románia</w:t>
      </w:r>
    </w:p>
    <w:p w14:paraId="40F01796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Svájc, Liechtenstein, Ausztria, Szlovénia (alpesi országok)</w:t>
      </w:r>
    </w:p>
    <w:p w14:paraId="55C59BC6" w14:textId="77777777" w:rsidR="008C2B99" w:rsidRDefault="008C2B99" w:rsidP="00747EA2">
      <w:pPr>
        <w:pStyle w:val="Listaszerbekezds"/>
        <w:numPr>
          <w:ilvl w:val="0"/>
          <w:numId w:val="5"/>
        </w:numPr>
      </w:pPr>
      <w:r>
        <w:t>Nyugat-Európa</w:t>
      </w:r>
    </w:p>
    <w:p w14:paraId="18F5E34F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Belgium, Hollandia, Luxemburg (együtt: Benelux államok)</w:t>
      </w:r>
    </w:p>
    <w:p w14:paraId="2C1E0227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Egyesült Királyság, Írország (együtt: a Brit-szigetek államai)</w:t>
      </w:r>
    </w:p>
    <w:p w14:paraId="16454B57" w14:textId="77777777" w:rsidR="008C2B99" w:rsidRDefault="008C2B99" w:rsidP="00747EA2">
      <w:pPr>
        <w:pStyle w:val="Listaszerbekezds"/>
        <w:numPr>
          <w:ilvl w:val="1"/>
          <w:numId w:val="5"/>
        </w:numPr>
      </w:pPr>
      <w:r>
        <w:t>Franciaország, Monaco</w:t>
      </w:r>
    </w:p>
    <w:p w14:paraId="7B6812C8" w14:textId="77777777" w:rsidR="008C2B99" w:rsidRDefault="008C2B99" w:rsidP="008C2B99">
      <w:r>
        <w:t>A fentihez képest léteznek eltérő felosztások is, amelyek kevesebb régiót különítenek el (pl. nincs Dél-Európától külön Délkelet-Európa, vagy nincs Közép-Európa, hanem Kelet- vagy Nyugat-Európához sorolják az ottani országokat), vagy akár többet (pl. Északkelet-Európa, Északnyugat-Európa, Délnyugat-Európa vagy Közép-Európát Nyugat-Közép-Európára és Kelet-Közép-Európára osztják). Az egyes országok besorolása sem mindig egyértelmű, az eltérő természetes határok, etnikai és kulturális határok, valamint a történelmi és jelenlegi államhatárok miatt.</w:t>
      </w:r>
    </w:p>
    <w:p w14:paraId="62A57C1D" w14:textId="77777777" w:rsidR="008C2B99" w:rsidRDefault="008C2B99" w:rsidP="008C2B99">
      <w:pPr>
        <w:pStyle w:val="Cmsor1"/>
      </w:pPr>
      <w:bookmarkStart w:id="7" w:name="_Toc192012484"/>
      <w:r>
        <w:t>Közlekedés</w:t>
      </w:r>
      <w:bookmarkEnd w:id="7"/>
    </w:p>
    <w:p w14:paraId="01974F50" w14:textId="77777777" w:rsidR="008C2B99" w:rsidRDefault="008C2B99" w:rsidP="007F1F17">
      <w:pPr>
        <w:pStyle w:val="Cmsor2"/>
      </w:pPr>
      <w:bookmarkStart w:id="8" w:name="_Toc192012485"/>
      <w:r>
        <w:t>Vasúti közlekedés</w:t>
      </w:r>
      <w:bookmarkEnd w:id="8"/>
    </w:p>
    <w:p w14:paraId="24CA5D52" w14:textId="77777777" w:rsidR="008C2B99" w:rsidRDefault="008C2B99" w:rsidP="008C2B99">
      <w:r>
        <w:t>Európa vasútvonalainak hossza 360 169 km, mely nagyrészt 1435 mm-es nyomtávolságú. Azonban Spanyolországban, Portugáliában, Oroszország európai részén és a volt szovjet utódállamok területén széles nyomtáv van. Ezenkívül több országban található keskeny nyomtávú hálózat. A nagysebességű vasúthálózat egységesen normál nyomtávú.</w:t>
      </w:r>
    </w:p>
    <w:p w14:paraId="026AE18B" w14:textId="77777777" w:rsidR="008C2B99" w:rsidRDefault="008C2B99" w:rsidP="007F1F17">
      <w:pPr>
        <w:pStyle w:val="Cmsor2"/>
      </w:pPr>
      <w:bookmarkStart w:id="9" w:name="_Toc192012486"/>
      <w:r>
        <w:t>Közúti közlekedés</w:t>
      </w:r>
      <w:bookmarkEnd w:id="9"/>
    </w:p>
    <w:p w14:paraId="595B4CCD" w14:textId="77777777" w:rsidR="008C2B99" w:rsidRDefault="008C2B99" w:rsidP="008C2B99">
      <w:r>
        <w:t xml:space="preserve">Az Egyesült Királyságban, Írországban, Máltán és Cipruson bal oldalon közlekednek. Európa többi részén nagyrészt a jobb oldalon zajlik a forgalom, néhány autópályaszakasztól és kisebb földúttól </w:t>
      </w:r>
      <w:r>
        <w:lastRenderedPageBreak/>
        <w:t>eltekintve. Egész Európában elterjedtek a különböző útadók, ezek közül a matricás rendszer méltó említésre. A nemzetközi E-számozást számos nagy autópályára kiterjesztették, de az utak számozása és igazgatása továbbra is helyi vagy nemzeti szinten történik. Az 1990-től kezdődő fejlődés ellenére továbbra is a közutakon zajló forgalom felelős a legnagyobb légszennyezésért.</w:t>
      </w:r>
    </w:p>
    <w:p w14:paraId="1E9E389E" w14:textId="77777777" w:rsidR="008C2B99" w:rsidRDefault="008C2B99" w:rsidP="007F1F17">
      <w:pPr>
        <w:pStyle w:val="Cmsor2"/>
      </w:pPr>
      <w:bookmarkStart w:id="10" w:name="_Toc192012487"/>
      <w:r>
        <w:t>Légi közlekedés</w:t>
      </w:r>
      <w:bookmarkEnd w:id="10"/>
    </w:p>
    <w:p w14:paraId="6A099EF0" w14:textId="02376E18" w:rsidR="00747EA2" w:rsidRDefault="008C2B99" w:rsidP="008C2B99">
      <w:r>
        <w:t>A kiterjedt vasúti és közúti hálózat ellenére a legtöbb hosszútávú utazást Európán belül légi úton bonyolítják. A turizmus szintén jelentős számú embert vonz a térségbe, akik a legnagyobb nemzetközi repülőterek valamelyikére érkeznek, mint például a Heathrow-repülőtér. Az ún. fapados járatok térhódítása is jelentősen növelte az így megtett utak számát. Mára a légi közlekedés az egyik legolcsóbb formája a városok közötti utasforgalomnak. Ez a növekedés ugyanakkor jelentős hatást gyakorolt mind a környezetre, mind a légterek telítettségére.</w:t>
      </w:r>
    </w:p>
    <w:tbl>
      <w:tblPr>
        <w:tblStyle w:val="Rcsostblzat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65"/>
        <w:gridCol w:w="2118"/>
        <w:gridCol w:w="2081"/>
        <w:gridCol w:w="1516"/>
        <w:gridCol w:w="1520"/>
        <w:gridCol w:w="1257"/>
      </w:tblGrid>
      <w:tr w:rsidR="00DB7508" w:rsidRPr="00747EA2" w14:paraId="69F939BD" w14:textId="77777777" w:rsidTr="00DB7508">
        <w:tc>
          <w:tcPr>
            <w:tcW w:w="312" w:type="pct"/>
            <w:vMerge w:val="restart"/>
            <w:tcBorders>
              <w:top w:val="nil"/>
              <w:left w:val="nil"/>
            </w:tcBorders>
          </w:tcPr>
          <w:p w14:paraId="046A9FE5" w14:textId="7FB15B42" w:rsidR="00DB7508" w:rsidRPr="00747EA2" w:rsidRDefault="00DB7508" w:rsidP="00337154"/>
        </w:tc>
        <w:tc>
          <w:tcPr>
            <w:tcW w:w="1169" w:type="pct"/>
            <w:vMerge w:val="restart"/>
            <w:shd w:val="clear" w:color="auto" w:fill="BDD7EE"/>
            <w:vAlign w:val="center"/>
          </w:tcPr>
          <w:p w14:paraId="0984C353" w14:textId="5206E7CA" w:rsidR="00DB7508" w:rsidRPr="00DB7508" w:rsidRDefault="00DB7508" w:rsidP="00DB7508">
            <w:pPr>
              <w:jc w:val="center"/>
              <w:rPr>
                <w:b/>
                <w:bCs/>
              </w:rPr>
            </w:pPr>
            <w:r w:rsidRPr="00DB7508">
              <w:rPr>
                <w:b/>
                <w:bCs/>
              </w:rPr>
              <w:t>Ország</w:t>
            </w:r>
          </w:p>
        </w:tc>
        <w:tc>
          <w:tcPr>
            <w:tcW w:w="1149" w:type="pct"/>
            <w:vMerge w:val="restart"/>
            <w:shd w:val="clear" w:color="auto" w:fill="BDD7EE"/>
            <w:vAlign w:val="center"/>
          </w:tcPr>
          <w:p w14:paraId="4546044B" w14:textId="62705E2B" w:rsidR="00DB7508" w:rsidRPr="00DB7508" w:rsidRDefault="00DB7508" w:rsidP="00DB7508">
            <w:pPr>
              <w:jc w:val="center"/>
              <w:rPr>
                <w:b/>
                <w:bCs/>
              </w:rPr>
            </w:pPr>
            <w:r w:rsidRPr="00DB7508">
              <w:rPr>
                <w:b/>
                <w:bCs/>
              </w:rPr>
              <w:t>Repülőtér</w:t>
            </w:r>
          </w:p>
        </w:tc>
        <w:tc>
          <w:tcPr>
            <w:tcW w:w="1676" w:type="pct"/>
            <w:gridSpan w:val="2"/>
            <w:shd w:val="clear" w:color="auto" w:fill="BDD7EE"/>
            <w:vAlign w:val="center"/>
          </w:tcPr>
          <w:p w14:paraId="18698E2F" w14:textId="2201E2FE" w:rsidR="00DB7508" w:rsidRPr="00DB7508" w:rsidRDefault="00DB7508" w:rsidP="00DB7508">
            <w:pPr>
              <w:jc w:val="center"/>
              <w:rPr>
                <w:b/>
                <w:bCs/>
              </w:rPr>
            </w:pPr>
            <w:r w:rsidRPr="00DB7508">
              <w:rPr>
                <w:b/>
                <w:bCs/>
              </w:rPr>
              <w:t>Utasok</w:t>
            </w:r>
          </w:p>
        </w:tc>
        <w:tc>
          <w:tcPr>
            <w:tcW w:w="694" w:type="pct"/>
            <w:shd w:val="clear" w:color="auto" w:fill="BDD7EE"/>
            <w:vAlign w:val="center"/>
          </w:tcPr>
          <w:p w14:paraId="248052E7" w14:textId="3C458FAF" w:rsidR="00DB7508" w:rsidRPr="00DB7508" w:rsidRDefault="00DB7508" w:rsidP="00DB7508">
            <w:pPr>
              <w:jc w:val="center"/>
              <w:rPr>
                <w:b/>
                <w:bCs/>
              </w:rPr>
            </w:pPr>
            <w:r w:rsidRPr="00DB7508">
              <w:rPr>
                <w:b/>
                <w:bCs/>
              </w:rPr>
              <w:t>Változás %</w:t>
            </w:r>
          </w:p>
        </w:tc>
      </w:tr>
      <w:tr w:rsidR="00DB7508" w:rsidRPr="00747EA2" w14:paraId="0A23096C" w14:textId="77777777" w:rsidTr="00DB7508">
        <w:tc>
          <w:tcPr>
            <w:tcW w:w="312" w:type="pct"/>
            <w:vMerge/>
            <w:tcBorders>
              <w:top w:val="nil"/>
              <w:left w:val="nil"/>
            </w:tcBorders>
          </w:tcPr>
          <w:p w14:paraId="1928EEFD" w14:textId="77777777" w:rsidR="00DB7508" w:rsidRPr="00747EA2" w:rsidRDefault="00DB7508" w:rsidP="00337154"/>
        </w:tc>
        <w:tc>
          <w:tcPr>
            <w:tcW w:w="1169" w:type="pct"/>
            <w:vMerge/>
            <w:shd w:val="clear" w:color="auto" w:fill="BDD7EE"/>
            <w:vAlign w:val="center"/>
          </w:tcPr>
          <w:p w14:paraId="526525E4" w14:textId="77777777" w:rsidR="00DB7508" w:rsidRPr="00DB7508" w:rsidRDefault="00DB7508" w:rsidP="00DB7508">
            <w:pPr>
              <w:jc w:val="center"/>
              <w:rPr>
                <w:b/>
                <w:bCs/>
              </w:rPr>
            </w:pPr>
          </w:p>
        </w:tc>
        <w:tc>
          <w:tcPr>
            <w:tcW w:w="1149" w:type="pct"/>
            <w:vMerge/>
            <w:shd w:val="clear" w:color="auto" w:fill="BDD7EE"/>
            <w:vAlign w:val="center"/>
          </w:tcPr>
          <w:p w14:paraId="0D6B8EB2" w14:textId="77777777" w:rsidR="00DB7508" w:rsidRPr="00DB7508" w:rsidRDefault="00DB7508" w:rsidP="00DB7508">
            <w:pPr>
              <w:jc w:val="center"/>
              <w:rPr>
                <w:b/>
                <w:bCs/>
              </w:rPr>
            </w:pPr>
          </w:p>
        </w:tc>
        <w:tc>
          <w:tcPr>
            <w:tcW w:w="837" w:type="pct"/>
            <w:shd w:val="clear" w:color="auto" w:fill="BDD7EE"/>
            <w:vAlign w:val="center"/>
          </w:tcPr>
          <w:p w14:paraId="724E0798" w14:textId="77777777" w:rsidR="00DB7508" w:rsidRPr="00DB7508" w:rsidRDefault="00DB7508" w:rsidP="00DB7508">
            <w:pPr>
              <w:jc w:val="center"/>
              <w:rPr>
                <w:b/>
                <w:bCs/>
              </w:rPr>
            </w:pPr>
            <w:r w:rsidRPr="00DB7508">
              <w:rPr>
                <w:b/>
                <w:bCs/>
              </w:rPr>
              <w:t>2019-ben</w:t>
            </w:r>
          </w:p>
        </w:tc>
        <w:tc>
          <w:tcPr>
            <w:tcW w:w="839" w:type="pct"/>
            <w:shd w:val="clear" w:color="auto" w:fill="BDD7EE"/>
            <w:vAlign w:val="center"/>
          </w:tcPr>
          <w:p w14:paraId="3686569E" w14:textId="77777777" w:rsidR="00DB7508" w:rsidRPr="00DB7508" w:rsidRDefault="00DB7508" w:rsidP="00DB7508">
            <w:pPr>
              <w:jc w:val="center"/>
              <w:rPr>
                <w:b/>
                <w:bCs/>
              </w:rPr>
            </w:pPr>
            <w:r w:rsidRPr="00DB7508">
              <w:rPr>
                <w:b/>
                <w:bCs/>
              </w:rPr>
              <w:t>2018-ban</w:t>
            </w:r>
          </w:p>
        </w:tc>
        <w:tc>
          <w:tcPr>
            <w:tcW w:w="694" w:type="pct"/>
            <w:shd w:val="clear" w:color="auto" w:fill="BDD7EE"/>
            <w:vAlign w:val="center"/>
          </w:tcPr>
          <w:p w14:paraId="5AB5C3BD" w14:textId="77777777" w:rsidR="00DB7508" w:rsidRPr="00DB7508" w:rsidRDefault="00DB7508" w:rsidP="00DB7508">
            <w:pPr>
              <w:jc w:val="center"/>
              <w:rPr>
                <w:b/>
                <w:bCs/>
              </w:rPr>
            </w:pPr>
            <w:r w:rsidRPr="00DB7508">
              <w:rPr>
                <w:b/>
                <w:bCs/>
              </w:rPr>
              <w:t>2018–2019</w:t>
            </w:r>
          </w:p>
        </w:tc>
      </w:tr>
      <w:tr w:rsidR="00DB7508" w:rsidRPr="00747EA2" w14:paraId="66BA53D4" w14:textId="77777777" w:rsidTr="00DB7508">
        <w:tc>
          <w:tcPr>
            <w:tcW w:w="312" w:type="pct"/>
            <w:shd w:val="clear" w:color="auto" w:fill="BDD7EE"/>
          </w:tcPr>
          <w:p w14:paraId="7D2D2CF4" w14:textId="77777777" w:rsidR="00747EA2" w:rsidRPr="00DB7508" w:rsidRDefault="00747EA2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1.</w:t>
            </w:r>
          </w:p>
        </w:tc>
        <w:tc>
          <w:tcPr>
            <w:tcW w:w="1169" w:type="pct"/>
          </w:tcPr>
          <w:p w14:paraId="492279BC" w14:textId="77777777" w:rsidR="00747EA2" w:rsidRPr="00747EA2" w:rsidRDefault="00747EA2" w:rsidP="00337154">
            <w:r w:rsidRPr="00747EA2">
              <w:t>Egyesült Királyság</w:t>
            </w:r>
          </w:p>
        </w:tc>
        <w:tc>
          <w:tcPr>
            <w:tcW w:w="1149" w:type="pct"/>
          </w:tcPr>
          <w:p w14:paraId="4AA50D1E" w14:textId="77777777" w:rsidR="00747EA2" w:rsidRPr="00747EA2" w:rsidRDefault="00747EA2" w:rsidP="00337154">
            <w:r w:rsidRPr="00747EA2">
              <w:t>Heathrow</w:t>
            </w:r>
          </w:p>
        </w:tc>
        <w:tc>
          <w:tcPr>
            <w:tcW w:w="837" w:type="pct"/>
          </w:tcPr>
          <w:p w14:paraId="38F52059" w14:textId="77777777" w:rsidR="00747EA2" w:rsidRPr="00747EA2" w:rsidRDefault="00747EA2" w:rsidP="00337154">
            <w:r w:rsidRPr="00747EA2">
              <w:t>80886589</w:t>
            </w:r>
          </w:p>
        </w:tc>
        <w:tc>
          <w:tcPr>
            <w:tcW w:w="839" w:type="pct"/>
          </w:tcPr>
          <w:p w14:paraId="2EE6D81D" w14:textId="77777777" w:rsidR="00747EA2" w:rsidRPr="00747EA2" w:rsidRDefault="00747EA2" w:rsidP="00337154">
            <w:r w:rsidRPr="00747EA2">
              <w:t>80100311</w:t>
            </w:r>
          </w:p>
        </w:tc>
        <w:tc>
          <w:tcPr>
            <w:tcW w:w="694" w:type="pct"/>
          </w:tcPr>
          <w:p w14:paraId="68FDABF2" w14:textId="360E7C66" w:rsidR="00747EA2" w:rsidRPr="00747EA2" w:rsidRDefault="00747EA2" w:rsidP="00DB7508">
            <w:pPr>
              <w:tabs>
                <w:tab w:val="decimal" w:pos="727"/>
              </w:tabs>
            </w:pPr>
            <w:r w:rsidRPr="00747EA2">
              <w:t>11</w:t>
            </w:r>
          </w:p>
        </w:tc>
      </w:tr>
      <w:tr w:rsidR="00DB7508" w:rsidRPr="00747EA2" w14:paraId="469C0E51" w14:textId="77777777" w:rsidTr="00DB7508">
        <w:tc>
          <w:tcPr>
            <w:tcW w:w="312" w:type="pct"/>
            <w:shd w:val="clear" w:color="auto" w:fill="BDD7EE"/>
          </w:tcPr>
          <w:p w14:paraId="152EE1F5" w14:textId="77777777" w:rsidR="00747EA2" w:rsidRPr="00DB7508" w:rsidRDefault="00747EA2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2.</w:t>
            </w:r>
          </w:p>
        </w:tc>
        <w:tc>
          <w:tcPr>
            <w:tcW w:w="1169" w:type="pct"/>
          </w:tcPr>
          <w:p w14:paraId="429F23BC" w14:textId="77777777" w:rsidR="00747EA2" w:rsidRPr="00747EA2" w:rsidRDefault="00747EA2" w:rsidP="00337154">
            <w:r w:rsidRPr="00747EA2">
              <w:t>Franciaország</w:t>
            </w:r>
          </w:p>
        </w:tc>
        <w:tc>
          <w:tcPr>
            <w:tcW w:w="1149" w:type="pct"/>
          </w:tcPr>
          <w:p w14:paraId="6E2AB1D2" w14:textId="77777777" w:rsidR="00747EA2" w:rsidRPr="00747EA2" w:rsidRDefault="00747EA2" w:rsidP="00337154">
            <w:r w:rsidRPr="00747EA2">
              <w:t>Charles de Gaulle</w:t>
            </w:r>
          </w:p>
        </w:tc>
        <w:tc>
          <w:tcPr>
            <w:tcW w:w="837" w:type="pct"/>
          </w:tcPr>
          <w:p w14:paraId="76F4ACE9" w14:textId="77777777" w:rsidR="00747EA2" w:rsidRPr="00747EA2" w:rsidRDefault="00747EA2" w:rsidP="00337154">
            <w:r w:rsidRPr="00747EA2">
              <w:t>76150007</w:t>
            </w:r>
          </w:p>
        </w:tc>
        <w:tc>
          <w:tcPr>
            <w:tcW w:w="839" w:type="pct"/>
          </w:tcPr>
          <w:p w14:paraId="239A6EF1" w14:textId="77777777" w:rsidR="00747EA2" w:rsidRPr="00747EA2" w:rsidRDefault="00747EA2" w:rsidP="00337154">
            <w:r w:rsidRPr="00747EA2">
              <w:t>72229723</w:t>
            </w:r>
          </w:p>
        </w:tc>
        <w:tc>
          <w:tcPr>
            <w:tcW w:w="694" w:type="pct"/>
          </w:tcPr>
          <w:p w14:paraId="769ED69C" w14:textId="77777777" w:rsidR="00747EA2" w:rsidRPr="00747EA2" w:rsidRDefault="00747EA2" w:rsidP="00DB7508">
            <w:pPr>
              <w:tabs>
                <w:tab w:val="decimal" w:pos="727"/>
              </w:tabs>
            </w:pPr>
            <w:r w:rsidRPr="00747EA2">
              <w:t>15,4</w:t>
            </w:r>
          </w:p>
        </w:tc>
      </w:tr>
      <w:tr w:rsidR="00DB7508" w:rsidRPr="00747EA2" w14:paraId="5928BCD2" w14:textId="77777777" w:rsidTr="00DB7508">
        <w:tc>
          <w:tcPr>
            <w:tcW w:w="312" w:type="pct"/>
            <w:shd w:val="clear" w:color="auto" w:fill="BDD7EE"/>
          </w:tcPr>
          <w:p w14:paraId="6BDE05C6" w14:textId="77777777" w:rsidR="00747EA2" w:rsidRPr="00DB7508" w:rsidRDefault="00747EA2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3.</w:t>
            </w:r>
          </w:p>
        </w:tc>
        <w:tc>
          <w:tcPr>
            <w:tcW w:w="1169" w:type="pct"/>
          </w:tcPr>
          <w:p w14:paraId="3F9080A7" w14:textId="77777777" w:rsidR="00747EA2" w:rsidRPr="00747EA2" w:rsidRDefault="00747EA2" w:rsidP="00337154">
            <w:r w:rsidRPr="00747EA2">
              <w:t>Hollandia</w:t>
            </w:r>
          </w:p>
        </w:tc>
        <w:tc>
          <w:tcPr>
            <w:tcW w:w="1149" w:type="pct"/>
          </w:tcPr>
          <w:p w14:paraId="25A46D19" w14:textId="77777777" w:rsidR="00747EA2" w:rsidRPr="00747EA2" w:rsidRDefault="00747EA2" w:rsidP="00337154">
            <w:proofErr w:type="spellStart"/>
            <w:r w:rsidRPr="00747EA2">
              <w:t>Schiphol</w:t>
            </w:r>
            <w:proofErr w:type="spellEnd"/>
          </w:p>
        </w:tc>
        <w:tc>
          <w:tcPr>
            <w:tcW w:w="837" w:type="pct"/>
          </w:tcPr>
          <w:p w14:paraId="2FFA172C" w14:textId="77777777" w:rsidR="00747EA2" w:rsidRPr="00747EA2" w:rsidRDefault="00747EA2" w:rsidP="00337154">
            <w:r w:rsidRPr="00747EA2">
              <w:t>71707144</w:t>
            </w:r>
          </w:p>
        </w:tc>
        <w:tc>
          <w:tcPr>
            <w:tcW w:w="839" w:type="pct"/>
          </w:tcPr>
          <w:p w14:paraId="2857CA94" w14:textId="77777777" w:rsidR="00747EA2" w:rsidRPr="00747EA2" w:rsidRDefault="00747EA2" w:rsidP="00337154">
            <w:r w:rsidRPr="00747EA2">
              <w:t>71053157</w:t>
            </w:r>
          </w:p>
        </w:tc>
        <w:tc>
          <w:tcPr>
            <w:tcW w:w="694" w:type="pct"/>
          </w:tcPr>
          <w:p w14:paraId="4B035034" w14:textId="77777777" w:rsidR="00747EA2" w:rsidRPr="00747EA2" w:rsidRDefault="00747EA2" w:rsidP="00DB7508">
            <w:pPr>
              <w:tabs>
                <w:tab w:val="decimal" w:pos="727"/>
              </w:tabs>
            </w:pPr>
            <w:r w:rsidRPr="00747EA2">
              <w:t>10,9</w:t>
            </w:r>
          </w:p>
        </w:tc>
      </w:tr>
      <w:tr w:rsidR="00DB7508" w:rsidRPr="00747EA2" w14:paraId="23701355" w14:textId="77777777" w:rsidTr="00DB7508">
        <w:tc>
          <w:tcPr>
            <w:tcW w:w="312" w:type="pct"/>
            <w:shd w:val="clear" w:color="auto" w:fill="BDD7EE"/>
          </w:tcPr>
          <w:p w14:paraId="0AE0ADA4" w14:textId="77777777" w:rsidR="00747EA2" w:rsidRPr="00DB7508" w:rsidRDefault="00747EA2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4.</w:t>
            </w:r>
          </w:p>
        </w:tc>
        <w:tc>
          <w:tcPr>
            <w:tcW w:w="1169" w:type="pct"/>
          </w:tcPr>
          <w:p w14:paraId="68722EE3" w14:textId="77777777" w:rsidR="00747EA2" w:rsidRPr="00747EA2" w:rsidRDefault="00747EA2" w:rsidP="00337154">
            <w:r w:rsidRPr="00747EA2">
              <w:t>Németország</w:t>
            </w:r>
          </w:p>
        </w:tc>
        <w:tc>
          <w:tcPr>
            <w:tcW w:w="1149" w:type="pct"/>
          </w:tcPr>
          <w:p w14:paraId="7F7DB126" w14:textId="77777777" w:rsidR="00747EA2" w:rsidRPr="00747EA2" w:rsidRDefault="00747EA2" w:rsidP="00337154">
            <w:r w:rsidRPr="00747EA2">
              <w:t>Frankfurt</w:t>
            </w:r>
          </w:p>
        </w:tc>
        <w:tc>
          <w:tcPr>
            <w:tcW w:w="837" w:type="pct"/>
          </w:tcPr>
          <w:p w14:paraId="1401F438" w14:textId="77777777" w:rsidR="00747EA2" w:rsidRPr="00747EA2" w:rsidRDefault="00747EA2" w:rsidP="00337154">
            <w:r w:rsidRPr="00747EA2">
              <w:t>70556072</w:t>
            </w:r>
          </w:p>
        </w:tc>
        <w:tc>
          <w:tcPr>
            <w:tcW w:w="839" w:type="pct"/>
          </w:tcPr>
          <w:p w14:paraId="2A02D419" w14:textId="77777777" w:rsidR="00747EA2" w:rsidRPr="00747EA2" w:rsidRDefault="00747EA2" w:rsidP="00337154">
            <w:r w:rsidRPr="00747EA2">
              <w:t>69510269</w:t>
            </w:r>
          </w:p>
        </w:tc>
        <w:tc>
          <w:tcPr>
            <w:tcW w:w="694" w:type="pct"/>
          </w:tcPr>
          <w:p w14:paraId="498F8F0F" w14:textId="77777777" w:rsidR="00747EA2" w:rsidRPr="00747EA2" w:rsidRDefault="00747EA2" w:rsidP="00DB7508">
            <w:pPr>
              <w:tabs>
                <w:tab w:val="decimal" w:pos="727"/>
              </w:tabs>
            </w:pPr>
            <w:r w:rsidRPr="00747EA2">
              <w:t>11,5</w:t>
            </w:r>
          </w:p>
        </w:tc>
      </w:tr>
      <w:tr w:rsidR="00DB7508" w:rsidRPr="00747EA2" w14:paraId="6B4624A7" w14:textId="77777777" w:rsidTr="00DB7508">
        <w:tc>
          <w:tcPr>
            <w:tcW w:w="312" w:type="pct"/>
            <w:shd w:val="clear" w:color="auto" w:fill="BDD7EE"/>
          </w:tcPr>
          <w:p w14:paraId="1DA27867" w14:textId="77777777" w:rsidR="00747EA2" w:rsidRPr="00DB7508" w:rsidRDefault="00747EA2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5.</w:t>
            </w:r>
          </w:p>
        </w:tc>
        <w:tc>
          <w:tcPr>
            <w:tcW w:w="1169" w:type="pct"/>
          </w:tcPr>
          <w:p w14:paraId="7CF1B6B2" w14:textId="77777777" w:rsidR="00747EA2" w:rsidRPr="00747EA2" w:rsidRDefault="00747EA2" w:rsidP="00337154">
            <w:r w:rsidRPr="00747EA2">
              <w:t>Spanyolország</w:t>
            </w:r>
          </w:p>
        </w:tc>
        <w:tc>
          <w:tcPr>
            <w:tcW w:w="1149" w:type="pct"/>
          </w:tcPr>
          <w:p w14:paraId="5FFABC1B" w14:textId="77777777" w:rsidR="00747EA2" w:rsidRPr="00747EA2" w:rsidRDefault="00747EA2" w:rsidP="00337154">
            <w:proofErr w:type="spellStart"/>
            <w:r w:rsidRPr="00747EA2">
              <w:t>Adolfo</w:t>
            </w:r>
            <w:proofErr w:type="spellEnd"/>
            <w:r w:rsidRPr="00747EA2">
              <w:t xml:space="preserve"> </w:t>
            </w:r>
            <w:proofErr w:type="spellStart"/>
            <w:r w:rsidRPr="00747EA2">
              <w:t>Suárez</w:t>
            </w:r>
            <w:proofErr w:type="spellEnd"/>
          </w:p>
        </w:tc>
        <w:tc>
          <w:tcPr>
            <w:tcW w:w="837" w:type="pct"/>
          </w:tcPr>
          <w:p w14:paraId="310F31F3" w14:textId="77777777" w:rsidR="00747EA2" w:rsidRPr="00747EA2" w:rsidRDefault="00747EA2" w:rsidP="00337154">
            <w:r w:rsidRPr="00747EA2">
              <w:t>61734037</w:t>
            </w:r>
          </w:p>
        </w:tc>
        <w:tc>
          <w:tcPr>
            <w:tcW w:w="839" w:type="pct"/>
          </w:tcPr>
          <w:p w14:paraId="2EFBFE76" w14:textId="77777777" w:rsidR="00747EA2" w:rsidRPr="00747EA2" w:rsidRDefault="00747EA2" w:rsidP="00337154">
            <w:r w:rsidRPr="00747EA2">
              <w:t>57891340</w:t>
            </w:r>
          </w:p>
        </w:tc>
        <w:tc>
          <w:tcPr>
            <w:tcW w:w="694" w:type="pct"/>
          </w:tcPr>
          <w:p w14:paraId="145DBDC7" w14:textId="77777777" w:rsidR="00747EA2" w:rsidRPr="00747EA2" w:rsidRDefault="00747EA2" w:rsidP="00DB7508">
            <w:pPr>
              <w:tabs>
                <w:tab w:val="decimal" w:pos="727"/>
              </w:tabs>
            </w:pPr>
            <w:r w:rsidRPr="00747EA2">
              <w:t>16,6</w:t>
            </w:r>
          </w:p>
        </w:tc>
      </w:tr>
      <w:tr w:rsidR="00DB7508" w:rsidRPr="00747EA2" w14:paraId="7BB0086C" w14:textId="77777777" w:rsidTr="00DB7508">
        <w:tc>
          <w:tcPr>
            <w:tcW w:w="312" w:type="pct"/>
            <w:shd w:val="clear" w:color="auto" w:fill="BDD7EE"/>
          </w:tcPr>
          <w:p w14:paraId="7CF8FEB2" w14:textId="77777777" w:rsidR="00747EA2" w:rsidRPr="00DB7508" w:rsidRDefault="00747EA2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6.</w:t>
            </w:r>
          </w:p>
        </w:tc>
        <w:tc>
          <w:tcPr>
            <w:tcW w:w="1169" w:type="pct"/>
          </w:tcPr>
          <w:p w14:paraId="774FDF62" w14:textId="77777777" w:rsidR="00747EA2" w:rsidRPr="00747EA2" w:rsidRDefault="00747EA2" w:rsidP="00337154">
            <w:r w:rsidRPr="00747EA2">
              <w:t>Spanyolország</w:t>
            </w:r>
          </w:p>
        </w:tc>
        <w:tc>
          <w:tcPr>
            <w:tcW w:w="1149" w:type="pct"/>
          </w:tcPr>
          <w:p w14:paraId="4E39A205" w14:textId="77777777" w:rsidR="00747EA2" w:rsidRPr="00747EA2" w:rsidRDefault="00747EA2" w:rsidP="00337154">
            <w:r w:rsidRPr="00747EA2">
              <w:t xml:space="preserve">El </w:t>
            </w:r>
            <w:proofErr w:type="spellStart"/>
            <w:r w:rsidRPr="00747EA2">
              <w:t>Prat</w:t>
            </w:r>
            <w:proofErr w:type="spellEnd"/>
            <w:r w:rsidRPr="00747EA2">
              <w:t xml:space="preserve"> </w:t>
            </w:r>
            <w:proofErr w:type="spellStart"/>
            <w:r w:rsidRPr="00747EA2">
              <w:t>Josep</w:t>
            </w:r>
            <w:proofErr w:type="spellEnd"/>
            <w:r w:rsidRPr="00747EA2">
              <w:t xml:space="preserve"> T.</w:t>
            </w:r>
          </w:p>
        </w:tc>
        <w:tc>
          <w:tcPr>
            <w:tcW w:w="837" w:type="pct"/>
          </w:tcPr>
          <w:p w14:paraId="1409778E" w14:textId="77777777" w:rsidR="00747EA2" w:rsidRPr="00747EA2" w:rsidRDefault="00747EA2" w:rsidP="00337154">
            <w:r w:rsidRPr="00747EA2">
              <w:t>52686314</w:t>
            </w:r>
          </w:p>
        </w:tc>
        <w:tc>
          <w:tcPr>
            <w:tcW w:w="839" w:type="pct"/>
          </w:tcPr>
          <w:p w14:paraId="4A3C3EFA" w14:textId="77777777" w:rsidR="00747EA2" w:rsidRPr="00747EA2" w:rsidRDefault="00747EA2" w:rsidP="00337154">
            <w:r w:rsidRPr="00747EA2">
              <w:t>50172457</w:t>
            </w:r>
          </w:p>
        </w:tc>
        <w:tc>
          <w:tcPr>
            <w:tcW w:w="694" w:type="pct"/>
          </w:tcPr>
          <w:p w14:paraId="0448E619" w14:textId="77777777" w:rsidR="00747EA2" w:rsidRPr="00747EA2" w:rsidRDefault="00747EA2" w:rsidP="00DB7508">
            <w:pPr>
              <w:tabs>
                <w:tab w:val="decimal" w:pos="727"/>
              </w:tabs>
            </w:pPr>
            <w:r w:rsidRPr="00747EA2">
              <w:t>15</w:t>
            </w:r>
          </w:p>
        </w:tc>
      </w:tr>
      <w:tr w:rsidR="00DB7508" w:rsidRPr="00747EA2" w14:paraId="0FE089F9" w14:textId="77777777" w:rsidTr="00DB7508">
        <w:tc>
          <w:tcPr>
            <w:tcW w:w="312" w:type="pct"/>
            <w:shd w:val="clear" w:color="auto" w:fill="BDD7EE"/>
          </w:tcPr>
          <w:p w14:paraId="2B40120B" w14:textId="77777777" w:rsidR="00747EA2" w:rsidRPr="00DB7508" w:rsidRDefault="00747EA2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7.</w:t>
            </w:r>
          </w:p>
        </w:tc>
        <w:tc>
          <w:tcPr>
            <w:tcW w:w="1169" w:type="pct"/>
          </w:tcPr>
          <w:p w14:paraId="5400FEBF" w14:textId="77777777" w:rsidR="00747EA2" w:rsidRPr="00747EA2" w:rsidRDefault="00747EA2" w:rsidP="00337154">
            <w:r w:rsidRPr="00747EA2">
              <w:t>Törökország</w:t>
            </w:r>
          </w:p>
        </w:tc>
        <w:tc>
          <w:tcPr>
            <w:tcW w:w="1149" w:type="pct"/>
          </w:tcPr>
          <w:p w14:paraId="4539BB8E" w14:textId="77777777" w:rsidR="00747EA2" w:rsidRPr="00747EA2" w:rsidRDefault="00747EA2" w:rsidP="00337154">
            <w:r w:rsidRPr="00747EA2">
              <w:t>Isztambul</w:t>
            </w:r>
          </w:p>
        </w:tc>
        <w:tc>
          <w:tcPr>
            <w:tcW w:w="837" w:type="pct"/>
          </w:tcPr>
          <w:p w14:paraId="52DD0C14" w14:textId="77777777" w:rsidR="00747EA2" w:rsidRPr="00747EA2" w:rsidRDefault="00747EA2" w:rsidP="00337154">
            <w:r w:rsidRPr="00747EA2">
              <w:t>52578008</w:t>
            </w:r>
          </w:p>
        </w:tc>
        <w:tc>
          <w:tcPr>
            <w:tcW w:w="839" w:type="pct"/>
          </w:tcPr>
          <w:p w14:paraId="05253EC6" w14:textId="77777777" w:rsidR="00747EA2" w:rsidRPr="00747EA2" w:rsidRDefault="00747EA2" w:rsidP="00337154">
            <w:r w:rsidRPr="00747EA2">
              <w:t>95205</w:t>
            </w:r>
          </w:p>
        </w:tc>
        <w:tc>
          <w:tcPr>
            <w:tcW w:w="694" w:type="pct"/>
          </w:tcPr>
          <w:p w14:paraId="00E5EDCD" w14:textId="77777777" w:rsidR="00747EA2" w:rsidRPr="00747EA2" w:rsidRDefault="00747EA2" w:rsidP="00DB7508">
            <w:pPr>
              <w:tabs>
                <w:tab w:val="decimal" w:pos="727"/>
              </w:tabs>
            </w:pPr>
            <w:r w:rsidRPr="00747EA2">
              <w:t>155126,1</w:t>
            </w:r>
          </w:p>
        </w:tc>
      </w:tr>
      <w:tr w:rsidR="00DB7508" w:rsidRPr="00747EA2" w14:paraId="24F39A6E" w14:textId="77777777" w:rsidTr="00DB7508">
        <w:tc>
          <w:tcPr>
            <w:tcW w:w="312" w:type="pct"/>
            <w:shd w:val="clear" w:color="auto" w:fill="BDD7EE"/>
          </w:tcPr>
          <w:p w14:paraId="3419C749" w14:textId="77777777" w:rsidR="00747EA2" w:rsidRPr="00DB7508" w:rsidRDefault="00747EA2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8.</w:t>
            </w:r>
          </w:p>
        </w:tc>
        <w:tc>
          <w:tcPr>
            <w:tcW w:w="1169" w:type="pct"/>
          </w:tcPr>
          <w:p w14:paraId="5BFF18D7" w14:textId="77777777" w:rsidR="00747EA2" w:rsidRPr="00747EA2" w:rsidRDefault="00747EA2" w:rsidP="00337154">
            <w:r w:rsidRPr="00747EA2">
              <w:t>Oroszország</w:t>
            </w:r>
          </w:p>
        </w:tc>
        <w:tc>
          <w:tcPr>
            <w:tcW w:w="1149" w:type="pct"/>
          </w:tcPr>
          <w:p w14:paraId="6468E614" w14:textId="77777777" w:rsidR="00747EA2" w:rsidRPr="00747EA2" w:rsidRDefault="00747EA2" w:rsidP="00337154">
            <w:proofErr w:type="spellStart"/>
            <w:r w:rsidRPr="00747EA2">
              <w:t>Seremetyjevói</w:t>
            </w:r>
            <w:proofErr w:type="spellEnd"/>
          </w:p>
        </w:tc>
        <w:tc>
          <w:tcPr>
            <w:tcW w:w="837" w:type="pct"/>
          </w:tcPr>
          <w:p w14:paraId="274F7A10" w14:textId="77777777" w:rsidR="00747EA2" w:rsidRPr="00747EA2" w:rsidRDefault="00747EA2" w:rsidP="00337154">
            <w:r w:rsidRPr="00747EA2">
              <w:t>49438545</w:t>
            </w:r>
          </w:p>
        </w:tc>
        <w:tc>
          <w:tcPr>
            <w:tcW w:w="839" w:type="pct"/>
          </w:tcPr>
          <w:p w14:paraId="2F0A87C3" w14:textId="77777777" w:rsidR="00747EA2" w:rsidRPr="00747EA2" w:rsidRDefault="00747EA2" w:rsidP="00337154">
            <w:r w:rsidRPr="00747EA2">
              <w:t>45348150</w:t>
            </w:r>
          </w:p>
        </w:tc>
        <w:tc>
          <w:tcPr>
            <w:tcW w:w="694" w:type="pct"/>
          </w:tcPr>
          <w:p w14:paraId="42071669" w14:textId="77777777" w:rsidR="00747EA2" w:rsidRPr="00747EA2" w:rsidRDefault="00747EA2" w:rsidP="00DB7508">
            <w:pPr>
              <w:tabs>
                <w:tab w:val="decimal" w:pos="727"/>
              </w:tabs>
            </w:pPr>
            <w:r w:rsidRPr="00747EA2">
              <w:t>19</w:t>
            </w:r>
          </w:p>
        </w:tc>
      </w:tr>
      <w:tr w:rsidR="00DB7508" w:rsidRPr="00747EA2" w14:paraId="1DDA2C78" w14:textId="77777777" w:rsidTr="00DB7508">
        <w:tc>
          <w:tcPr>
            <w:tcW w:w="312" w:type="pct"/>
            <w:shd w:val="clear" w:color="auto" w:fill="BDD7EE"/>
          </w:tcPr>
          <w:p w14:paraId="30783119" w14:textId="77777777" w:rsidR="00747EA2" w:rsidRPr="00DB7508" w:rsidRDefault="00747EA2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9.</w:t>
            </w:r>
          </w:p>
        </w:tc>
        <w:tc>
          <w:tcPr>
            <w:tcW w:w="1169" w:type="pct"/>
          </w:tcPr>
          <w:p w14:paraId="0E005C55" w14:textId="77777777" w:rsidR="00747EA2" w:rsidRPr="00747EA2" w:rsidRDefault="00747EA2" w:rsidP="00337154">
            <w:r w:rsidRPr="00747EA2">
              <w:t>Németország</w:t>
            </w:r>
          </w:p>
        </w:tc>
        <w:tc>
          <w:tcPr>
            <w:tcW w:w="1149" w:type="pct"/>
          </w:tcPr>
          <w:p w14:paraId="3EE2F0F6" w14:textId="77777777" w:rsidR="00747EA2" w:rsidRPr="00747EA2" w:rsidRDefault="00747EA2" w:rsidP="00337154">
            <w:r w:rsidRPr="00747EA2">
              <w:t>Franz Josef Strauss</w:t>
            </w:r>
          </w:p>
        </w:tc>
        <w:tc>
          <w:tcPr>
            <w:tcW w:w="837" w:type="pct"/>
          </w:tcPr>
          <w:p w14:paraId="2342DD2B" w14:textId="77777777" w:rsidR="00747EA2" w:rsidRPr="00747EA2" w:rsidRDefault="00747EA2" w:rsidP="00337154">
            <w:r w:rsidRPr="00747EA2">
              <w:t>47941348</w:t>
            </w:r>
          </w:p>
        </w:tc>
        <w:tc>
          <w:tcPr>
            <w:tcW w:w="839" w:type="pct"/>
          </w:tcPr>
          <w:p w14:paraId="572B7F41" w14:textId="77777777" w:rsidR="00747EA2" w:rsidRPr="00747EA2" w:rsidRDefault="00747EA2" w:rsidP="00337154">
            <w:r w:rsidRPr="00747EA2">
              <w:t>46253620</w:t>
            </w:r>
          </w:p>
        </w:tc>
        <w:tc>
          <w:tcPr>
            <w:tcW w:w="694" w:type="pct"/>
          </w:tcPr>
          <w:p w14:paraId="3ABDC924" w14:textId="77777777" w:rsidR="00747EA2" w:rsidRPr="00747EA2" w:rsidRDefault="00747EA2" w:rsidP="00DB7508">
            <w:pPr>
              <w:tabs>
                <w:tab w:val="decimal" w:pos="727"/>
              </w:tabs>
            </w:pPr>
            <w:r w:rsidRPr="00747EA2">
              <w:t>13,6</w:t>
            </w:r>
          </w:p>
        </w:tc>
      </w:tr>
      <w:tr w:rsidR="00DB7508" w:rsidRPr="00747EA2" w14:paraId="7A22D7C0" w14:textId="77777777" w:rsidTr="00DB7508">
        <w:tc>
          <w:tcPr>
            <w:tcW w:w="312" w:type="pct"/>
            <w:shd w:val="clear" w:color="auto" w:fill="BDD7EE"/>
          </w:tcPr>
          <w:p w14:paraId="55E8A885" w14:textId="77777777" w:rsidR="00747EA2" w:rsidRPr="00DB7508" w:rsidRDefault="00747EA2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10.</w:t>
            </w:r>
          </w:p>
        </w:tc>
        <w:tc>
          <w:tcPr>
            <w:tcW w:w="1169" w:type="pct"/>
          </w:tcPr>
          <w:p w14:paraId="5995E79B" w14:textId="77777777" w:rsidR="00747EA2" w:rsidRPr="00747EA2" w:rsidRDefault="00747EA2" w:rsidP="00337154">
            <w:r w:rsidRPr="00747EA2">
              <w:t>Egyesült Királyság</w:t>
            </w:r>
          </w:p>
        </w:tc>
        <w:tc>
          <w:tcPr>
            <w:tcW w:w="1149" w:type="pct"/>
          </w:tcPr>
          <w:p w14:paraId="66E317B9" w14:textId="77777777" w:rsidR="00747EA2" w:rsidRPr="00747EA2" w:rsidRDefault="00747EA2" w:rsidP="00337154">
            <w:proofErr w:type="spellStart"/>
            <w:r w:rsidRPr="00747EA2">
              <w:t>Gatwick</w:t>
            </w:r>
            <w:proofErr w:type="spellEnd"/>
            <w:r w:rsidRPr="00747EA2">
              <w:t xml:space="preserve"> Airport</w:t>
            </w:r>
          </w:p>
        </w:tc>
        <w:tc>
          <w:tcPr>
            <w:tcW w:w="837" w:type="pct"/>
          </w:tcPr>
          <w:p w14:paraId="3111FC0F" w14:textId="77777777" w:rsidR="00747EA2" w:rsidRPr="00747EA2" w:rsidRDefault="00747EA2" w:rsidP="00337154">
            <w:r w:rsidRPr="00747EA2">
              <w:t>46574786</w:t>
            </w:r>
          </w:p>
        </w:tc>
        <w:tc>
          <w:tcPr>
            <w:tcW w:w="839" w:type="pct"/>
          </w:tcPr>
          <w:p w14:paraId="19FF9BDA" w14:textId="77777777" w:rsidR="00747EA2" w:rsidRPr="00747EA2" w:rsidRDefault="00747EA2" w:rsidP="00337154">
            <w:r w:rsidRPr="00747EA2">
              <w:t>46081327</w:t>
            </w:r>
          </w:p>
        </w:tc>
        <w:tc>
          <w:tcPr>
            <w:tcW w:w="694" w:type="pct"/>
          </w:tcPr>
          <w:p w14:paraId="7E0AA9D9" w14:textId="77777777" w:rsidR="00747EA2" w:rsidRPr="00747EA2" w:rsidRDefault="00747EA2" w:rsidP="00DB7508">
            <w:pPr>
              <w:tabs>
                <w:tab w:val="decimal" w:pos="727"/>
              </w:tabs>
            </w:pPr>
            <w:r w:rsidRPr="00747EA2">
              <w:t>11,1</w:t>
            </w:r>
          </w:p>
        </w:tc>
      </w:tr>
    </w:tbl>
    <w:p w14:paraId="6370A6EC" w14:textId="77777777" w:rsidR="008C2B99" w:rsidRDefault="008C2B99" w:rsidP="007F1F17">
      <w:pPr>
        <w:pStyle w:val="Cmsor2"/>
      </w:pPr>
      <w:bookmarkStart w:id="11" w:name="_Toc192012488"/>
      <w:r>
        <w:t>Vízi közlekedés</w:t>
      </w:r>
      <w:bookmarkEnd w:id="11"/>
    </w:p>
    <w:p w14:paraId="73C09ED2" w14:textId="77777777" w:rsidR="008C2B99" w:rsidRDefault="008C2B99" w:rsidP="008C2B99">
      <w:r>
        <w:t>A Rotterdami kikötő Hollandiában a legnagyobb kikötő Európában, valamint az egyik legforgalmasabb is, mely több mint 400 millió tonna árut fogadott 2008-ban. A La Manche a világ egyik legforgalmasabb vízi útvonala. Több mint 400 hajó használja naponta a Balti-tenger és az Északi-tenger közötti útvonalon. A teherforgalomban játszott szerepe mellett a vízi szállítás rendkívül fontos Európa energiaszükségletének ellátása miatt is. A világ egyik legfontosabb olaj kirakodási pontja Európa.</w:t>
      </w: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1"/>
        <w:gridCol w:w="2578"/>
        <w:gridCol w:w="567"/>
        <w:gridCol w:w="1984"/>
        <w:gridCol w:w="1843"/>
      </w:tblGrid>
      <w:tr w:rsidR="00DB7508" w:rsidRPr="00DB7508" w14:paraId="3E390719" w14:textId="77777777" w:rsidTr="00DB7508">
        <w:trPr>
          <w:jc w:val="center"/>
        </w:trPr>
        <w:tc>
          <w:tcPr>
            <w:tcW w:w="541" w:type="dxa"/>
            <w:tcBorders>
              <w:top w:val="nil"/>
              <w:left w:val="nil"/>
            </w:tcBorders>
          </w:tcPr>
          <w:p w14:paraId="1A324245" w14:textId="77777777" w:rsidR="00DB7508" w:rsidRPr="00DB7508" w:rsidRDefault="00DB7508" w:rsidP="003973D3"/>
        </w:tc>
        <w:tc>
          <w:tcPr>
            <w:tcW w:w="2578" w:type="dxa"/>
            <w:shd w:val="clear" w:color="auto" w:fill="BDD7EE"/>
          </w:tcPr>
          <w:p w14:paraId="15252331" w14:textId="77777777" w:rsidR="00DB7508" w:rsidRPr="00DB7508" w:rsidRDefault="00DB7508" w:rsidP="00DB7508">
            <w:pPr>
              <w:jc w:val="center"/>
              <w:rPr>
                <w:b/>
                <w:bCs/>
              </w:rPr>
            </w:pPr>
            <w:r w:rsidRPr="00DB7508">
              <w:rPr>
                <w:b/>
                <w:bCs/>
              </w:rPr>
              <w:t>Kikötő</w:t>
            </w:r>
          </w:p>
        </w:tc>
        <w:tc>
          <w:tcPr>
            <w:tcW w:w="2551" w:type="dxa"/>
            <w:gridSpan w:val="2"/>
            <w:shd w:val="clear" w:color="auto" w:fill="BDD7EE"/>
          </w:tcPr>
          <w:p w14:paraId="0D73EA4C" w14:textId="40EDC8EB" w:rsidR="00DB7508" w:rsidRPr="00DB7508" w:rsidRDefault="00DB7508" w:rsidP="00DB7508">
            <w:pPr>
              <w:jc w:val="center"/>
              <w:rPr>
                <w:b/>
                <w:bCs/>
              </w:rPr>
            </w:pPr>
            <w:r w:rsidRPr="00DB7508">
              <w:rPr>
                <w:b/>
                <w:bCs/>
              </w:rPr>
              <w:t>Ország</w:t>
            </w:r>
          </w:p>
        </w:tc>
        <w:tc>
          <w:tcPr>
            <w:tcW w:w="1843" w:type="dxa"/>
            <w:shd w:val="clear" w:color="auto" w:fill="BDD7EE"/>
          </w:tcPr>
          <w:p w14:paraId="32F00D3F" w14:textId="3CE5296E" w:rsidR="00DB7508" w:rsidRPr="00DB7508" w:rsidRDefault="00DB7508" w:rsidP="00DB7508">
            <w:pPr>
              <w:jc w:val="center"/>
              <w:rPr>
                <w:b/>
                <w:bCs/>
              </w:rPr>
            </w:pPr>
            <w:r w:rsidRPr="00DB7508">
              <w:rPr>
                <w:b/>
                <w:bCs/>
              </w:rPr>
              <w:t>Tenger</w:t>
            </w:r>
          </w:p>
        </w:tc>
      </w:tr>
      <w:tr w:rsidR="00DB7508" w:rsidRPr="00DB7508" w14:paraId="5CB34C5C" w14:textId="77777777" w:rsidTr="00DB7508">
        <w:trPr>
          <w:jc w:val="center"/>
        </w:trPr>
        <w:tc>
          <w:tcPr>
            <w:tcW w:w="541" w:type="dxa"/>
            <w:shd w:val="clear" w:color="auto" w:fill="BDD7EE"/>
          </w:tcPr>
          <w:p w14:paraId="2CD2226D" w14:textId="77777777" w:rsidR="00DB7508" w:rsidRPr="00DB7508" w:rsidRDefault="00DB7508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1.</w:t>
            </w:r>
          </w:p>
        </w:tc>
        <w:tc>
          <w:tcPr>
            <w:tcW w:w="2578" w:type="dxa"/>
          </w:tcPr>
          <w:p w14:paraId="147F68FF" w14:textId="77777777" w:rsidR="00DB7508" w:rsidRPr="00DB7508" w:rsidRDefault="00DB7508" w:rsidP="003973D3">
            <w:r w:rsidRPr="00DB7508">
              <w:t>Rotterdam</w:t>
            </w:r>
          </w:p>
        </w:tc>
        <w:tc>
          <w:tcPr>
            <w:tcW w:w="567" w:type="dxa"/>
            <w:vAlign w:val="center"/>
          </w:tcPr>
          <w:p w14:paraId="76EBB75B" w14:textId="25345BAC" w:rsidR="00DB7508" w:rsidRPr="00DB7508" w:rsidRDefault="00DB7508" w:rsidP="00DB7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906F97" wp14:editId="04085BE3">
                  <wp:extent cx="206375" cy="140335"/>
                  <wp:effectExtent l="0" t="0" r="3175" b="0"/>
                  <wp:docPr id="1860004408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4BE60B27" w14:textId="77777777" w:rsidR="00DB7508" w:rsidRPr="00DB7508" w:rsidRDefault="00DB7508" w:rsidP="003973D3">
            <w:r w:rsidRPr="00DB7508">
              <w:t>Hollandia</w:t>
            </w:r>
          </w:p>
        </w:tc>
        <w:tc>
          <w:tcPr>
            <w:tcW w:w="1843" w:type="dxa"/>
          </w:tcPr>
          <w:p w14:paraId="5346C2FD" w14:textId="77777777" w:rsidR="00DB7508" w:rsidRPr="00DB7508" w:rsidRDefault="00DB7508" w:rsidP="003973D3">
            <w:r w:rsidRPr="00DB7508">
              <w:t>Északi-tenger</w:t>
            </w:r>
          </w:p>
        </w:tc>
      </w:tr>
      <w:tr w:rsidR="00DB7508" w:rsidRPr="00DB7508" w14:paraId="310E6E1E" w14:textId="77777777" w:rsidTr="00DB7508">
        <w:trPr>
          <w:jc w:val="center"/>
        </w:trPr>
        <w:tc>
          <w:tcPr>
            <w:tcW w:w="541" w:type="dxa"/>
            <w:shd w:val="clear" w:color="auto" w:fill="BDD7EE"/>
          </w:tcPr>
          <w:p w14:paraId="65854734" w14:textId="77777777" w:rsidR="00DB7508" w:rsidRPr="00DB7508" w:rsidRDefault="00DB7508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2.</w:t>
            </w:r>
          </w:p>
        </w:tc>
        <w:tc>
          <w:tcPr>
            <w:tcW w:w="2578" w:type="dxa"/>
          </w:tcPr>
          <w:p w14:paraId="4509714E" w14:textId="77777777" w:rsidR="00DB7508" w:rsidRPr="00DB7508" w:rsidRDefault="00DB7508" w:rsidP="003973D3">
            <w:r w:rsidRPr="00DB7508">
              <w:t>Antwerpen</w:t>
            </w:r>
          </w:p>
        </w:tc>
        <w:tc>
          <w:tcPr>
            <w:tcW w:w="567" w:type="dxa"/>
            <w:vAlign w:val="center"/>
          </w:tcPr>
          <w:p w14:paraId="164C87E4" w14:textId="6C688319" w:rsidR="00DB7508" w:rsidRPr="00DB7508" w:rsidRDefault="00DB7508" w:rsidP="00DB7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CC2782" wp14:editId="49D430FF">
                  <wp:extent cx="206375" cy="140335"/>
                  <wp:effectExtent l="0" t="0" r="3175" b="0"/>
                  <wp:docPr id="278757268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11060568" w14:textId="77777777" w:rsidR="00DB7508" w:rsidRPr="00DB7508" w:rsidRDefault="00DB7508" w:rsidP="003973D3">
            <w:r w:rsidRPr="00DB7508">
              <w:t>Belgium</w:t>
            </w:r>
          </w:p>
        </w:tc>
        <w:tc>
          <w:tcPr>
            <w:tcW w:w="1843" w:type="dxa"/>
          </w:tcPr>
          <w:p w14:paraId="2F0A1683" w14:textId="77777777" w:rsidR="00DB7508" w:rsidRPr="00DB7508" w:rsidRDefault="00DB7508" w:rsidP="003973D3">
            <w:r w:rsidRPr="00DB7508">
              <w:t>Északi-tenger</w:t>
            </w:r>
          </w:p>
        </w:tc>
      </w:tr>
      <w:tr w:rsidR="00DB7508" w:rsidRPr="00DB7508" w14:paraId="5DCEECAA" w14:textId="77777777" w:rsidTr="00DB7508">
        <w:trPr>
          <w:jc w:val="center"/>
        </w:trPr>
        <w:tc>
          <w:tcPr>
            <w:tcW w:w="541" w:type="dxa"/>
            <w:shd w:val="clear" w:color="auto" w:fill="BDD7EE"/>
          </w:tcPr>
          <w:p w14:paraId="11A3362A" w14:textId="77777777" w:rsidR="00DB7508" w:rsidRPr="00DB7508" w:rsidRDefault="00DB7508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3.</w:t>
            </w:r>
          </w:p>
        </w:tc>
        <w:tc>
          <w:tcPr>
            <w:tcW w:w="2578" w:type="dxa"/>
          </w:tcPr>
          <w:p w14:paraId="3D61A4C0" w14:textId="77777777" w:rsidR="00DB7508" w:rsidRPr="00DB7508" w:rsidRDefault="00DB7508" w:rsidP="003973D3">
            <w:r w:rsidRPr="00DB7508">
              <w:t>Hamburg</w:t>
            </w:r>
          </w:p>
        </w:tc>
        <w:tc>
          <w:tcPr>
            <w:tcW w:w="567" w:type="dxa"/>
            <w:vAlign w:val="center"/>
          </w:tcPr>
          <w:p w14:paraId="65FA3C21" w14:textId="4C7E8B62" w:rsidR="00DB7508" w:rsidRPr="00DB7508" w:rsidRDefault="00DB7508" w:rsidP="00DB7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629FF7" wp14:editId="23B40708">
                  <wp:extent cx="206375" cy="125095"/>
                  <wp:effectExtent l="0" t="0" r="3175" b="8255"/>
                  <wp:docPr id="1339107971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4BE1AAC9" w14:textId="77777777" w:rsidR="00DB7508" w:rsidRPr="00DB7508" w:rsidRDefault="00DB7508" w:rsidP="003973D3">
            <w:r w:rsidRPr="00DB7508">
              <w:t>Németország</w:t>
            </w:r>
          </w:p>
        </w:tc>
        <w:tc>
          <w:tcPr>
            <w:tcW w:w="1843" w:type="dxa"/>
          </w:tcPr>
          <w:p w14:paraId="2B61B0F8" w14:textId="77777777" w:rsidR="00DB7508" w:rsidRPr="00DB7508" w:rsidRDefault="00DB7508" w:rsidP="003973D3">
            <w:r w:rsidRPr="00DB7508">
              <w:t>Északi-tenger</w:t>
            </w:r>
          </w:p>
        </w:tc>
      </w:tr>
      <w:tr w:rsidR="00DB7508" w:rsidRPr="00DB7508" w14:paraId="07893B9B" w14:textId="77777777" w:rsidTr="00DB7508">
        <w:trPr>
          <w:jc w:val="center"/>
        </w:trPr>
        <w:tc>
          <w:tcPr>
            <w:tcW w:w="541" w:type="dxa"/>
            <w:shd w:val="clear" w:color="auto" w:fill="BDD7EE"/>
          </w:tcPr>
          <w:p w14:paraId="665A160A" w14:textId="77777777" w:rsidR="00DB7508" w:rsidRPr="00DB7508" w:rsidRDefault="00DB7508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4.</w:t>
            </w:r>
          </w:p>
        </w:tc>
        <w:tc>
          <w:tcPr>
            <w:tcW w:w="2578" w:type="dxa"/>
          </w:tcPr>
          <w:p w14:paraId="290C6722" w14:textId="77777777" w:rsidR="00DB7508" w:rsidRPr="00DB7508" w:rsidRDefault="00DB7508" w:rsidP="003973D3">
            <w:proofErr w:type="spellStart"/>
            <w:r w:rsidRPr="00DB7508">
              <w:t>Bremen-Bremerhaven</w:t>
            </w:r>
            <w:proofErr w:type="spellEnd"/>
          </w:p>
        </w:tc>
        <w:tc>
          <w:tcPr>
            <w:tcW w:w="567" w:type="dxa"/>
            <w:vAlign w:val="center"/>
          </w:tcPr>
          <w:p w14:paraId="5BDD5399" w14:textId="16EA6E45" w:rsidR="00DB7508" w:rsidRPr="00DB7508" w:rsidRDefault="00DB7508" w:rsidP="00DB7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E79545" wp14:editId="6EB7A965">
                  <wp:extent cx="206375" cy="125095"/>
                  <wp:effectExtent l="0" t="0" r="3175" b="8255"/>
                  <wp:docPr id="817814354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54DD0306" w14:textId="77777777" w:rsidR="00DB7508" w:rsidRPr="00DB7508" w:rsidRDefault="00DB7508" w:rsidP="003973D3">
            <w:r w:rsidRPr="00DB7508">
              <w:t>Németország</w:t>
            </w:r>
          </w:p>
        </w:tc>
        <w:tc>
          <w:tcPr>
            <w:tcW w:w="1843" w:type="dxa"/>
          </w:tcPr>
          <w:p w14:paraId="3DC9F358" w14:textId="77777777" w:rsidR="00DB7508" w:rsidRPr="00DB7508" w:rsidRDefault="00DB7508" w:rsidP="003973D3">
            <w:r w:rsidRPr="00DB7508">
              <w:t>Északi-tenger</w:t>
            </w:r>
          </w:p>
        </w:tc>
      </w:tr>
      <w:tr w:rsidR="00DB7508" w:rsidRPr="00DB7508" w14:paraId="597EB0BF" w14:textId="77777777" w:rsidTr="00DB7508">
        <w:trPr>
          <w:jc w:val="center"/>
        </w:trPr>
        <w:tc>
          <w:tcPr>
            <w:tcW w:w="541" w:type="dxa"/>
            <w:shd w:val="clear" w:color="auto" w:fill="BDD7EE"/>
          </w:tcPr>
          <w:p w14:paraId="36C06B79" w14:textId="77777777" w:rsidR="00DB7508" w:rsidRPr="00DB7508" w:rsidRDefault="00DB7508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5.</w:t>
            </w:r>
          </w:p>
        </w:tc>
        <w:tc>
          <w:tcPr>
            <w:tcW w:w="2578" w:type="dxa"/>
          </w:tcPr>
          <w:p w14:paraId="0EE7C359" w14:textId="77777777" w:rsidR="00DB7508" w:rsidRPr="00DB7508" w:rsidRDefault="00DB7508" w:rsidP="003973D3">
            <w:r w:rsidRPr="00DB7508">
              <w:t>Valencia</w:t>
            </w:r>
          </w:p>
        </w:tc>
        <w:tc>
          <w:tcPr>
            <w:tcW w:w="567" w:type="dxa"/>
            <w:vAlign w:val="center"/>
          </w:tcPr>
          <w:p w14:paraId="6C3DDE42" w14:textId="781637EF" w:rsidR="00DB7508" w:rsidRPr="00DB7508" w:rsidRDefault="00DB7508" w:rsidP="00DB7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F16561" wp14:editId="69BFA47D">
                  <wp:extent cx="206375" cy="140335"/>
                  <wp:effectExtent l="0" t="0" r="3175" b="0"/>
                  <wp:docPr id="1744150111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1C847B45" w14:textId="77777777" w:rsidR="00DB7508" w:rsidRPr="00DB7508" w:rsidRDefault="00DB7508" w:rsidP="003973D3">
            <w:r w:rsidRPr="00DB7508">
              <w:t>Spanyolország</w:t>
            </w:r>
          </w:p>
        </w:tc>
        <w:tc>
          <w:tcPr>
            <w:tcW w:w="1843" w:type="dxa"/>
          </w:tcPr>
          <w:p w14:paraId="2179D21F" w14:textId="77777777" w:rsidR="00DB7508" w:rsidRPr="00DB7508" w:rsidRDefault="00DB7508" w:rsidP="003973D3">
            <w:r w:rsidRPr="00DB7508">
              <w:t>Földközi-tenger</w:t>
            </w:r>
          </w:p>
        </w:tc>
      </w:tr>
      <w:tr w:rsidR="00DB7508" w:rsidRPr="00DB7508" w14:paraId="5DC99953" w14:textId="77777777" w:rsidTr="00DB7508">
        <w:trPr>
          <w:jc w:val="center"/>
        </w:trPr>
        <w:tc>
          <w:tcPr>
            <w:tcW w:w="541" w:type="dxa"/>
            <w:shd w:val="clear" w:color="auto" w:fill="BDD7EE"/>
          </w:tcPr>
          <w:p w14:paraId="6C4F8625" w14:textId="77777777" w:rsidR="00DB7508" w:rsidRPr="00DB7508" w:rsidRDefault="00DB7508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6.</w:t>
            </w:r>
          </w:p>
        </w:tc>
        <w:tc>
          <w:tcPr>
            <w:tcW w:w="2578" w:type="dxa"/>
          </w:tcPr>
          <w:p w14:paraId="41DA35D3" w14:textId="77777777" w:rsidR="00DB7508" w:rsidRPr="00DB7508" w:rsidRDefault="00DB7508" w:rsidP="003973D3">
            <w:proofErr w:type="spellStart"/>
            <w:r w:rsidRPr="00DB7508">
              <w:t>Piraeus</w:t>
            </w:r>
            <w:proofErr w:type="spellEnd"/>
          </w:p>
        </w:tc>
        <w:tc>
          <w:tcPr>
            <w:tcW w:w="567" w:type="dxa"/>
            <w:vAlign w:val="center"/>
          </w:tcPr>
          <w:p w14:paraId="6B4FA735" w14:textId="42B21FAB" w:rsidR="00DB7508" w:rsidRPr="00DB7508" w:rsidRDefault="00DB7508" w:rsidP="00DB7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A38F10" wp14:editId="3F628C6E">
                  <wp:extent cx="206375" cy="140335"/>
                  <wp:effectExtent l="0" t="0" r="3175" b="0"/>
                  <wp:docPr id="1907922355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69CE8800" w14:textId="77777777" w:rsidR="00DB7508" w:rsidRPr="00DB7508" w:rsidRDefault="00DB7508" w:rsidP="003973D3">
            <w:r w:rsidRPr="00DB7508">
              <w:t>Görögország</w:t>
            </w:r>
          </w:p>
        </w:tc>
        <w:tc>
          <w:tcPr>
            <w:tcW w:w="1843" w:type="dxa"/>
          </w:tcPr>
          <w:p w14:paraId="334449A2" w14:textId="77777777" w:rsidR="00DB7508" w:rsidRPr="00DB7508" w:rsidRDefault="00DB7508" w:rsidP="003973D3">
            <w:r w:rsidRPr="00DB7508">
              <w:t>Földközi-tenger</w:t>
            </w:r>
          </w:p>
        </w:tc>
      </w:tr>
      <w:tr w:rsidR="00DB7508" w:rsidRPr="00DB7508" w14:paraId="77BEECC9" w14:textId="77777777" w:rsidTr="00DB7508">
        <w:trPr>
          <w:jc w:val="center"/>
        </w:trPr>
        <w:tc>
          <w:tcPr>
            <w:tcW w:w="541" w:type="dxa"/>
            <w:shd w:val="clear" w:color="auto" w:fill="BDD7EE"/>
          </w:tcPr>
          <w:p w14:paraId="1A0BFE50" w14:textId="77777777" w:rsidR="00DB7508" w:rsidRPr="00DB7508" w:rsidRDefault="00DB7508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7.</w:t>
            </w:r>
          </w:p>
        </w:tc>
        <w:tc>
          <w:tcPr>
            <w:tcW w:w="2578" w:type="dxa"/>
          </w:tcPr>
          <w:p w14:paraId="592811E3" w14:textId="77777777" w:rsidR="00DB7508" w:rsidRPr="00DB7508" w:rsidRDefault="00DB7508" w:rsidP="003973D3">
            <w:proofErr w:type="spellStart"/>
            <w:r w:rsidRPr="00DB7508">
              <w:t>Algeciras</w:t>
            </w:r>
            <w:proofErr w:type="spellEnd"/>
          </w:p>
        </w:tc>
        <w:tc>
          <w:tcPr>
            <w:tcW w:w="567" w:type="dxa"/>
            <w:vAlign w:val="center"/>
          </w:tcPr>
          <w:p w14:paraId="71430E99" w14:textId="1157D58E" w:rsidR="00DB7508" w:rsidRPr="00DB7508" w:rsidRDefault="00DB7508" w:rsidP="00DB7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4BF11" wp14:editId="1A217A26">
                  <wp:extent cx="206375" cy="140335"/>
                  <wp:effectExtent l="0" t="0" r="3175" b="0"/>
                  <wp:docPr id="2004597635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3493FB52" w14:textId="77777777" w:rsidR="00DB7508" w:rsidRPr="00DB7508" w:rsidRDefault="00DB7508" w:rsidP="003973D3">
            <w:r w:rsidRPr="00DB7508">
              <w:t>Spanyolország</w:t>
            </w:r>
          </w:p>
        </w:tc>
        <w:tc>
          <w:tcPr>
            <w:tcW w:w="1843" w:type="dxa"/>
          </w:tcPr>
          <w:p w14:paraId="2C1D3675" w14:textId="77777777" w:rsidR="00DB7508" w:rsidRPr="00DB7508" w:rsidRDefault="00DB7508" w:rsidP="003973D3">
            <w:r w:rsidRPr="00DB7508">
              <w:t>Földközi-tenger</w:t>
            </w:r>
          </w:p>
        </w:tc>
      </w:tr>
      <w:tr w:rsidR="00DB7508" w:rsidRPr="00DB7508" w14:paraId="693ED018" w14:textId="77777777" w:rsidTr="00DB7508">
        <w:trPr>
          <w:jc w:val="center"/>
        </w:trPr>
        <w:tc>
          <w:tcPr>
            <w:tcW w:w="541" w:type="dxa"/>
            <w:shd w:val="clear" w:color="auto" w:fill="BDD7EE"/>
          </w:tcPr>
          <w:p w14:paraId="728EC364" w14:textId="77777777" w:rsidR="00DB7508" w:rsidRPr="00DB7508" w:rsidRDefault="00DB7508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8.</w:t>
            </w:r>
          </w:p>
        </w:tc>
        <w:tc>
          <w:tcPr>
            <w:tcW w:w="2578" w:type="dxa"/>
          </w:tcPr>
          <w:p w14:paraId="69EAD494" w14:textId="77777777" w:rsidR="00DB7508" w:rsidRPr="00DB7508" w:rsidRDefault="00DB7508" w:rsidP="003973D3">
            <w:proofErr w:type="spellStart"/>
            <w:r w:rsidRPr="00DB7508">
              <w:t>Gioia</w:t>
            </w:r>
            <w:proofErr w:type="spellEnd"/>
            <w:r w:rsidRPr="00DB7508">
              <w:t xml:space="preserve"> </w:t>
            </w:r>
            <w:proofErr w:type="spellStart"/>
            <w:r w:rsidRPr="00DB7508">
              <w:t>Tauro</w:t>
            </w:r>
            <w:proofErr w:type="spellEnd"/>
          </w:p>
        </w:tc>
        <w:tc>
          <w:tcPr>
            <w:tcW w:w="567" w:type="dxa"/>
            <w:vAlign w:val="center"/>
          </w:tcPr>
          <w:p w14:paraId="70EA1857" w14:textId="59C911CB" w:rsidR="00DB7508" w:rsidRPr="00DB7508" w:rsidRDefault="00DB7508" w:rsidP="00DB7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915C6E" wp14:editId="0664882E">
                  <wp:extent cx="206375" cy="140335"/>
                  <wp:effectExtent l="0" t="0" r="3175" b="0"/>
                  <wp:docPr id="850017044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5FB4B4FE" w14:textId="77777777" w:rsidR="00DB7508" w:rsidRPr="00DB7508" w:rsidRDefault="00DB7508" w:rsidP="003973D3">
            <w:r w:rsidRPr="00DB7508">
              <w:t>Olaszország</w:t>
            </w:r>
          </w:p>
        </w:tc>
        <w:tc>
          <w:tcPr>
            <w:tcW w:w="1843" w:type="dxa"/>
          </w:tcPr>
          <w:p w14:paraId="329069FD" w14:textId="77777777" w:rsidR="00DB7508" w:rsidRPr="00DB7508" w:rsidRDefault="00DB7508" w:rsidP="003973D3">
            <w:r w:rsidRPr="00DB7508">
              <w:t>Földközi-tenger</w:t>
            </w:r>
          </w:p>
        </w:tc>
      </w:tr>
      <w:tr w:rsidR="00DB7508" w:rsidRPr="00DB7508" w14:paraId="4E28D02E" w14:textId="77777777" w:rsidTr="00DB7508">
        <w:trPr>
          <w:jc w:val="center"/>
        </w:trPr>
        <w:tc>
          <w:tcPr>
            <w:tcW w:w="541" w:type="dxa"/>
            <w:shd w:val="clear" w:color="auto" w:fill="BDD7EE"/>
          </w:tcPr>
          <w:p w14:paraId="29C229F9" w14:textId="77777777" w:rsidR="00DB7508" w:rsidRPr="00DB7508" w:rsidRDefault="00DB7508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9.</w:t>
            </w:r>
          </w:p>
        </w:tc>
        <w:tc>
          <w:tcPr>
            <w:tcW w:w="2578" w:type="dxa"/>
          </w:tcPr>
          <w:p w14:paraId="18D0F599" w14:textId="77777777" w:rsidR="00DB7508" w:rsidRPr="00DB7508" w:rsidRDefault="00DB7508" w:rsidP="003973D3">
            <w:proofErr w:type="spellStart"/>
            <w:r w:rsidRPr="00DB7508">
              <w:t>Felixstowe</w:t>
            </w:r>
            <w:proofErr w:type="spellEnd"/>
          </w:p>
        </w:tc>
        <w:tc>
          <w:tcPr>
            <w:tcW w:w="567" w:type="dxa"/>
            <w:vAlign w:val="center"/>
          </w:tcPr>
          <w:p w14:paraId="236AB4A4" w14:textId="403C3631" w:rsidR="00DB7508" w:rsidRPr="00DB7508" w:rsidRDefault="00DB7508" w:rsidP="00DB7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13CC74" wp14:editId="4156F685">
                  <wp:extent cx="206375" cy="140335"/>
                  <wp:effectExtent l="0" t="0" r="3175" b="0"/>
                  <wp:docPr id="1209263463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4FA0CB0C" w14:textId="77777777" w:rsidR="00DB7508" w:rsidRPr="00DB7508" w:rsidRDefault="00DB7508" w:rsidP="003973D3">
            <w:r w:rsidRPr="00DB7508">
              <w:t>Egyesült Királyság</w:t>
            </w:r>
          </w:p>
        </w:tc>
        <w:tc>
          <w:tcPr>
            <w:tcW w:w="1843" w:type="dxa"/>
          </w:tcPr>
          <w:p w14:paraId="669A7289" w14:textId="77777777" w:rsidR="00DB7508" w:rsidRPr="00DB7508" w:rsidRDefault="00DB7508" w:rsidP="003973D3">
            <w:r w:rsidRPr="00DB7508">
              <w:t>Északi-tenger</w:t>
            </w:r>
          </w:p>
        </w:tc>
      </w:tr>
      <w:tr w:rsidR="00DB7508" w14:paraId="5F3B73E6" w14:textId="77777777" w:rsidTr="00DB7508">
        <w:trPr>
          <w:jc w:val="center"/>
        </w:trPr>
        <w:tc>
          <w:tcPr>
            <w:tcW w:w="541" w:type="dxa"/>
            <w:shd w:val="clear" w:color="auto" w:fill="BDD7EE"/>
          </w:tcPr>
          <w:p w14:paraId="0EC74975" w14:textId="77777777" w:rsidR="00DB7508" w:rsidRPr="00DB7508" w:rsidRDefault="00DB7508" w:rsidP="00DB7508">
            <w:pPr>
              <w:jc w:val="right"/>
              <w:rPr>
                <w:b/>
                <w:bCs/>
              </w:rPr>
            </w:pPr>
            <w:r w:rsidRPr="00DB7508">
              <w:rPr>
                <w:b/>
                <w:bCs/>
              </w:rPr>
              <w:t>10.</w:t>
            </w:r>
          </w:p>
        </w:tc>
        <w:tc>
          <w:tcPr>
            <w:tcW w:w="2578" w:type="dxa"/>
          </w:tcPr>
          <w:p w14:paraId="0E59D1B1" w14:textId="77777777" w:rsidR="00DB7508" w:rsidRPr="00DB7508" w:rsidRDefault="00DB7508" w:rsidP="003973D3">
            <w:r w:rsidRPr="00DB7508">
              <w:t>Barcelona</w:t>
            </w:r>
          </w:p>
        </w:tc>
        <w:tc>
          <w:tcPr>
            <w:tcW w:w="567" w:type="dxa"/>
            <w:vAlign w:val="center"/>
          </w:tcPr>
          <w:p w14:paraId="26CE3205" w14:textId="3A9221E3" w:rsidR="00DB7508" w:rsidRPr="00DB7508" w:rsidRDefault="00DB7508" w:rsidP="00DB75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182C0" wp14:editId="5C977C8D">
                  <wp:extent cx="206375" cy="140335"/>
                  <wp:effectExtent l="0" t="0" r="3175" b="0"/>
                  <wp:docPr id="1874574426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4F619E91" w14:textId="77777777" w:rsidR="00DB7508" w:rsidRPr="00DB7508" w:rsidRDefault="00DB7508" w:rsidP="003973D3">
            <w:r w:rsidRPr="00DB7508">
              <w:t>Spanyolország</w:t>
            </w:r>
          </w:p>
        </w:tc>
        <w:tc>
          <w:tcPr>
            <w:tcW w:w="1843" w:type="dxa"/>
          </w:tcPr>
          <w:p w14:paraId="6F0CF5B8" w14:textId="77777777" w:rsidR="00DB7508" w:rsidRDefault="00DB7508" w:rsidP="003973D3">
            <w:r w:rsidRPr="00DB7508">
              <w:t>Földközi-tenger</w:t>
            </w:r>
          </w:p>
        </w:tc>
      </w:tr>
    </w:tbl>
    <w:p w14:paraId="0BB4B12D" w14:textId="3F9D8CE0" w:rsidR="007F1F17" w:rsidRDefault="007F1F17" w:rsidP="008C2B99">
      <w:pPr>
        <w:sectPr w:rsidR="007F1F17" w:rsidSect="007F1F17">
          <w:footerReference w:type="default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4306799" w14:textId="6665E236" w:rsidR="007F216B" w:rsidRDefault="008C2B99" w:rsidP="008C2B99">
      <w:pPr>
        <w:pStyle w:val="Cmsor1"/>
      </w:pPr>
      <w:bookmarkStart w:id="12" w:name="_Toc192012489"/>
      <w:r>
        <w:lastRenderedPageBreak/>
        <w:t>Tartalomjegyzék</w:t>
      </w:r>
      <w:bookmarkEnd w:id="12"/>
    </w:p>
    <w:sdt>
      <w:sdtPr>
        <w:id w:val="-379626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0089A" w14:textId="33A9ADF4" w:rsidR="007F1F17" w:rsidRDefault="007F1F17" w:rsidP="007F1F17">
          <w:pPr>
            <w:pStyle w:val="TJ1"/>
            <w:tabs>
              <w:tab w:val="left" w:pos="480"/>
              <w:tab w:val="right" w:leader="underscore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12477" w:history="1">
            <w:r w:rsidRPr="00157D11">
              <w:rPr>
                <w:rStyle w:val="Hiperhivatkozs"/>
                <w:noProof/>
              </w:rPr>
              <w:t>1.</w:t>
            </w:r>
            <w:r>
              <w:rPr>
                <w:noProof/>
              </w:rPr>
              <w:tab/>
            </w:r>
            <w:r w:rsidRPr="00157D11">
              <w:rPr>
                <w:rStyle w:val="Hiperhivatkozs"/>
                <w:noProof/>
              </w:rPr>
              <w:t xml:space="preserve">A név </w:t>
            </w:r>
            <w:r w:rsidRPr="007F1F17">
              <w:t>eredete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6B8EF" w14:textId="375E6003" w:rsidR="007F1F17" w:rsidRDefault="007F1F17" w:rsidP="007F1F17">
          <w:pPr>
            <w:pStyle w:val="TJ1"/>
            <w:tabs>
              <w:tab w:val="left" w:pos="480"/>
              <w:tab w:val="right" w:leader="underscore" w:pos="9062"/>
            </w:tabs>
            <w:rPr>
              <w:noProof/>
            </w:rPr>
          </w:pPr>
          <w:hyperlink w:anchor="_Toc192012478" w:history="1">
            <w:r w:rsidRPr="00157D11">
              <w:rPr>
                <w:rStyle w:val="Hiperhivatkozs"/>
                <w:noProof/>
              </w:rPr>
              <w:t>2.</w:t>
            </w:r>
            <w:r>
              <w:rPr>
                <w:noProof/>
              </w:rPr>
              <w:tab/>
            </w:r>
            <w:r w:rsidRPr="00157D11">
              <w:rPr>
                <w:rStyle w:val="Hiperhivatkozs"/>
                <w:noProof/>
              </w:rPr>
              <w:t>Földrajz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A37C" w14:textId="2D29E4F0" w:rsidR="007F1F17" w:rsidRDefault="007F1F17" w:rsidP="007F1F17">
          <w:pPr>
            <w:pStyle w:val="TJ2"/>
            <w:tabs>
              <w:tab w:val="left" w:pos="960"/>
              <w:tab w:val="right" w:leader="underscore" w:pos="9062"/>
            </w:tabs>
            <w:rPr>
              <w:noProof/>
            </w:rPr>
          </w:pPr>
          <w:hyperlink w:anchor="_Toc192012479" w:history="1">
            <w:r w:rsidRPr="00157D11">
              <w:rPr>
                <w:rStyle w:val="Hiperhivatkozs"/>
                <w:noProof/>
              </w:rPr>
              <w:t>2.1.</w:t>
            </w:r>
            <w:r>
              <w:rPr>
                <w:noProof/>
              </w:rPr>
              <w:tab/>
            </w:r>
            <w:r w:rsidRPr="00157D11">
              <w:rPr>
                <w:rStyle w:val="Hiperhivatkozs"/>
                <w:noProof/>
              </w:rPr>
              <w:t>Fekvése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8CDC" w14:textId="37DD082D" w:rsidR="007F1F17" w:rsidRDefault="007F1F17" w:rsidP="007F1F17">
          <w:pPr>
            <w:pStyle w:val="TJ2"/>
            <w:tabs>
              <w:tab w:val="left" w:pos="960"/>
              <w:tab w:val="right" w:leader="underscore" w:pos="9062"/>
            </w:tabs>
            <w:rPr>
              <w:noProof/>
            </w:rPr>
          </w:pPr>
          <w:hyperlink w:anchor="_Toc192012480" w:history="1">
            <w:r w:rsidRPr="00157D11">
              <w:rPr>
                <w:rStyle w:val="Hiperhivatkozs"/>
                <w:noProof/>
              </w:rPr>
              <w:t>2.2.</w:t>
            </w:r>
            <w:r>
              <w:rPr>
                <w:noProof/>
              </w:rPr>
              <w:tab/>
            </w:r>
            <w:r w:rsidRPr="00157D11">
              <w:rPr>
                <w:rStyle w:val="Hiperhivatkozs"/>
                <w:noProof/>
              </w:rPr>
              <w:t>Keletkezése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B255" w14:textId="5B9A759A" w:rsidR="007F1F17" w:rsidRDefault="007F1F17" w:rsidP="007F1F17">
          <w:pPr>
            <w:pStyle w:val="TJ2"/>
            <w:tabs>
              <w:tab w:val="left" w:pos="960"/>
              <w:tab w:val="right" w:leader="underscore" w:pos="9062"/>
            </w:tabs>
            <w:rPr>
              <w:noProof/>
            </w:rPr>
          </w:pPr>
          <w:hyperlink w:anchor="_Toc192012481" w:history="1">
            <w:r w:rsidRPr="00157D11">
              <w:rPr>
                <w:rStyle w:val="Hiperhivatkozs"/>
                <w:noProof/>
              </w:rPr>
              <w:t>2.3.</w:t>
            </w:r>
            <w:r>
              <w:rPr>
                <w:noProof/>
              </w:rPr>
              <w:tab/>
            </w:r>
            <w:r w:rsidRPr="00157D11">
              <w:rPr>
                <w:rStyle w:val="Hiperhivatkozs"/>
                <w:noProof/>
              </w:rPr>
              <w:t>Izland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3BA0" w14:textId="0E0F6F8C" w:rsidR="007F1F17" w:rsidRDefault="007F1F17" w:rsidP="007F1F17">
          <w:pPr>
            <w:pStyle w:val="TJ2"/>
            <w:tabs>
              <w:tab w:val="left" w:pos="960"/>
              <w:tab w:val="right" w:leader="underscore" w:pos="9062"/>
            </w:tabs>
            <w:rPr>
              <w:noProof/>
            </w:rPr>
          </w:pPr>
          <w:hyperlink w:anchor="_Toc192012482" w:history="1">
            <w:r w:rsidRPr="00157D11">
              <w:rPr>
                <w:rStyle w:val="Hiperhivatkozs"/>
                <w:noProof/>
              </w:rPr>
              <w:t>2.4.</w:t>
            </w:r>
            <w:r>
              <w:rPr>
                <w:noProof/>
              </w:rPr>
              <w:tab/>
            </w:r>
            <w:r w:rsidRPr="00157D11">
              <w:rPr>
                <w:rStyle w:val="Hiperhivatkozs"/>
                <w:noProof/>
              </w:rPr>
              <w:t>Vízrajza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2D4F" w14:textId="34D981D2" w:rsidR="007F1F17" w:rsidRDefault="007F1F17" w:rsidP="007F1F17">
          <w:pPr>
            <w:pStyle w:val="TJ1"/>
            <w:tabs>
              <w:tab w:val="left" w:pos="480"/>
              <w:tab w:val="right" w:leader="underscore" w:pos="9062"/>
            </w:tabs>
            <w:rPr>
              <w:noProof/>
            </w:rPr>
          </w:pPr>
          <w:hyperlink w:anchor="_Toc192012483" w:history="1">
            <w:r w:rsidRPr="00157D11">
              <w:rPr>
                <w:rStyle w:val="Hiperhivatkozs"/>
                <w:noProof/>
              </w:rPr>
              <w:t>3.</w:t>
            </w:r>
            <w:r>
              <w:rPr>
                <w:noProof/>
              </w:rPr>
              <w:tab/>
            </w:r>
            <w:r w:rsidRPr="00157D11">
              <w:rPr>
                <w:rStyle w:val="Hiperhivatkozs"/>
                <w:noProof/>
              </w:rPr>
              <w:t>Régiók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14C7" w14:textId="6182F4D7" w:rsidR="007F1F17" w:rsidRDefault="007F1F17" w:rsidP="007F1F17">
          <w:pPr>
            <w:pStyle w:val="TJ1"/>
            <w:tabs>
              <w:tab w:val="left" w:pos="480"/>
              <w:tab w:val="right" w:leader="underscore" w:pos="9062"/>
            </w:tabs>
            <w:rPr>
              <w:noProof/>
            </w:rPr>
          </w:pPr>
          <w:hyperlink w:anchor="_Toc192012484" w:history="1">
            <w:r w:rsidRPr="00157D11">
              <w:rPr>
                <w:rStyle w:val="Hiperhivatkozs"/>
                <w:noProof/>
              </w:rPr>
              <w:t>4.</w:t>
            </w:r>
            <w:r>
              <w:rPr>
                <w:noProof/>
              </w:rPr>
              <w:tab/>
            </w:r>
            <w:r w:rsidRPr="00157D11">
              <w:rPr>
                <w:rStyle w:val="Hiperhivatkozs"/>
                <w:noProof/>
              </w:rPr>
              <w:t>Közlekedés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F167" w14:textId="76CDB24E" w:rsidR="007F1F17" w:rsidRDefault="007F1F17" w:rsidP="007F1F17">
          <w:pPr>
            <w:pStyle w:val="TJ2"/>
            <w:tabs>
              <w:tab w:val="left" w:pos="960"/>
              <w:tab w:val="right" w:leader="underscore" w:pos="9062"/>
            </w:tabs>
            <w:rPr>
              <w:noProof/>
            </w:rPr>
          </w:pPr>
          <w:hyperlink w:anchor="_Toc192012485" w:history="1">
            <w:r w:rsidRPr="00157D11">
              <w:rPr>
                <w:rStyle w:val="Hiperhivatkozs"/>
                <w:noProof/>
              </w:rPr>
              <w:t>4.1.</w:t>
            </w:r>
            <w:r>
              <w:rPr>
                <w:noProof/>
              </w:rPr>
              <w:tab/>
            </w:r>
            <w:r w:rsidRPr="00157D11">
              <w:rPr>
                <w:rStyle w:val="Hiperhivatkozs"/>
                <w:noProof/>
              </w:rPr>
              <w:t>Vasúti közlekedés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F7D3" w14:textId="0FA2AC31" w:rsidR="007F1F17" w:rsidRDefault="007F1F17" w:rsidP="007F1F17">
          <w:pPr>
            <w:pStyle w:val="TJ2"/>
            <w:tabs>
              <w:tab w:val="left" w:pos="960"/>
              <w:tab w:val="right" w:leader="underscore" w:pos="9062"/>
            </w:tabs>
            <w:rPr>
              <w:noProof/>
            </w:rPr>
          </w:pPr>
          <w:hyperlink w:anchor="_Toc192012486" w:history="1">
            <w:r w:rsidRPr="00157D11">
              <w:rPr>
                <w:rStyle w:val="Hiperhivatkozs"/>
                <w:noProof/>
              </w:rPr>
              <w:t>4.2.</w:t>
            </w:r>
            <w:r>
              <w:rPr>
                <w:noProof/>
              </w:rPr>
              <w:tab/>
            </w:r>
            <w:r w:rsidRPr="00157D11">
              <w:rPr>
                <w:rStyle w:val="Hiperhivatkozs"/>
                <w:noProof/>
              </w:rPr>
              <w:t>Közúti közlekedés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39B6" w14:textId="2143031C" w:rsidR="007F1F17" w:rsidRDefault="007F1F17" w:rsidP="007F1F17">
          <w:pPr>
            <w:pStyle w:val="TJ2"/>
            <w:tabs>
              <w:tab w:val="left" w:pos="960"/>
              <w:tab w:val="right" w:leader="underscore" w:pos="9062"/>
            </w:tabs>
            <w:rPr>
              <w:noProof/>
            </w:rPr>
          </w:pPr>
          <w:hyperlink w:anchor="_Toc192012487" w:history="1">
            <w:r w:rsidRPr="00157D11">
              <w:rPr>
                <w:rStyle w:val="Hiperhivatkozs"/>
                <w:noProof/>
              </w:rPr>
              <w:t>4.3.</w:t>
            </w:r>
            <w:r>
              <w:rPr>
                <w:noProof/>
              </w:rPr>
              <w:tab/>
            </w:r>
            <w:r w:rsidRPr="00157D11">
              <w:rPr>
                <w:rStyle w:val="Hiperhivatkozs"/>
                <w:noProof/>
              </w:rPr>
              <w:t>Légi közlekedés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CFB6" w14:textId="499655E3" w:rsidR="007F1F17" w:rsidRDefault="007F1F17" w:rsidP="007F1F17">
          <w:pPr>
            <w:pStyle w:val="TJ2"/>
            <w:tabs>
              <w:tab w:val="left" w:pos="960"/>
              <w:tab w:val="right" w:leader="underscore" w:pos="9062"/>
            </w:tabs>
            <w:rPr>
              <w:noProof/>
            </w:rPr>
          </w:pPr>
          <w:hyperlink w:anchor="_Toc192012488" w:history="1">
            <w:r w:rsidRPr="00157D11">
              <w:rPr>
                <w:rStyle w:val="Hiperhivatkozs"/>
                <w:noProof/>
              </w:rPr>
              <w:t>4.4.</w:t>
            </w:r>
            <w:r>
              <w:rPr>
                <w:noProof/>
              </w:rPr>
              <w:tab/>
            </w:r>
            <w:r w:rsidRPr="00157D11">
              <w:rPr>
                <w:rStyle w:val="Hiperhivatkozs"/>
                <w:noProof/>
              </w:rPr>
              <w:t>Vízi közlekedés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55BB" w14:textId="1D10F9B4" w:rsidR="007F1F17" w:rsidRDefault="007F1F17" w:rsidP="007F1F17">
          <w:pPr>
            <w:pStyle w:val="TJ1"/>
            <w:tabs>
              <w:tab w:val="left" w:pos="480"/>
              <w:tab w:val="right" w:leader="underscore" w:pos="9062"/>
            </w:tabs>
            <w:rPr>
              <w:noProof/>
            </w:rPr>
          </w:pPr>
          <w:hyperlink w:anchor="_Toc192012489" w:history="1">
            <w:r w:rsidRPr="00157D11">
              <w:rPr>
                <w:rStyle w:val="Hiperhivatkozs"/>
                <w:noProof/>
              </w:rPr>
              <w:t>5.</w:t>
            </w:r>
            <w:r>
              <w:rPr>
                <w:noProof/>
              </w:rPr>
              <w:tab/>
            </w:r>
            <w:r w:rsidRPr="00157D11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D7D7" w14:textId="3EB0BCAD" w:rsidR="007F1F17" w:rsidRPr="007F1F17" w:rsidRDefault="007F1F1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sectPr w:rsidR="007F1F17" w:rsidRPr="007F1F17" w:rsidSect="007F1F17">
      <w:footerReference w:type="default" r:id="rId20"/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E3611" w14:textId="77777777" w:rsidR="00CD39B4" w:rsidRDefault="00CD39B4" w:rsidP="007F1F17">
      <w:pPr>
        <w:spacing w:after="0" w:line="240" w:lineRule="auto"/>
      </w:pPr>
      <w:r>
        <w:separator/>
      </w:r>
    </w:p>
  </w:endnote>
  <w:endnote w:type="continuationSeparator" w:id="0">
    <w:p w14:paraId="05769BF4" w14:textId="77777777" w:rsidR="00CD39B4" w:rsidRDefault="00CD39B4" w:rsidP="007F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46FF" w14:textId="77160769" w:rsidR="007F1F17" w:rsidRDefault="007F1F17" w:rsidP="007F1F17">
    <w:pPr>
      <w:pStyle w:val="llb"/>
      <w:pBdr>
        <w:top w:val="single" w:sz="18" w:space="1" w:color="auto"/>
      </w:pBdr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8C307" w14:textId="6D321438" w:rsidR="007F1F17" w:rsidRDefault="007F1F17" w:rsidP="007F1F17">
    <w:pPr>
      <w:pStyle w:val="llb"/>
      <w:pBdr>
        <w:top w:val="single" w:sz="18" w:space="1" w:color="auto"/>
      </w:pBdr>
      <w:jc w:val="right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F95ED" w14:textId="77777777" w:rsidR="007F1F17" w:rsidRDefault="007F1F17" w:rsidP="007F1F17">
    <w:pPr>
      <w:pStyle w:val="llb"/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896A1" w14:textId="77777777" w:rsidR="00CD39B4" w:rsidRDefault="00CD39B4" w:rsidP="007F1F17">
      <w:pPr>
        <w:spacing w:after="0" w:line="240" w:lineRule="auto"/>
      </w:pPr>
      <w:r>
        <w:separator/>
      </w:r>
    </w:p>
  </w:footnote>
  <w:footnote w:type="continuationSeparator" w:id="0">
    <w:p w14:paraId="141E9575" w14:textId="77777777" w:rsidR="00CD39B4" w:rsidRDefault="00CD39B4" w:rsidP="007F1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6CD5"/>
    <w:multiLevelType w:val="hybridMultilevel"/>
    <w:tmpl w:val="D676F1F6"/>
    <w:lvl w:ilvl="0" w:tplc="8E98D52E">
      <w:start w:val="1"/>
      <w:numFmt w:val="upperRoman"/>
      <w:pStyle w:val="Cmsor3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4093"/>
    <w:multiLevelType w:val="multilevel"/>
    <w:tmpl w:val="B4465078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/>
        <w:bCs/>
      </w:rPr>
    </w:lvl>
    <w:lvl w:ilvl="1">
      <w:start w:val="1"/>
      <w:numFmt w:val="lowerLetter"/>
      <w:lvlText w:val="%1/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9460D48"/>
    <w:multiLevelType w:val="hybridMultilevel"/>
    <w:tmpl w:val="3D8EE2EA"/>
    <w:lvl w:ilvl="0" w:tplc="8AFED8BC">
      <w:start w:val="1"/>
      <w:numFmt w:val="bullet"/>
      <w:lvlText w:val=""/>
      <w:lvlJc w:val="left"/>
      <w:pPr>
        <w:ind w:left="720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60E3E"/>
    <w:multiLevelType w:val="multilevel"/>
    <w:tmpl w:val="E140CF88"/>
    <w:lvl w:ilvl="0">
      <w:start w:val="1"/>
      <w:numFmt w:val="decimal"/>
      <w:pStyle w:val="Cmsor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C108CC"/>
    <w:multiLevelType w:val="hybridMultilevel"/>
    <w:tmpl w:val="75747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9703">
    <w:abstractNumId w:val="4"/>
  </w:num>
  <w:num w:numId="2" w16cid:durableId="460458753">
    <w:abstractNumId w:val="3"/>
  </w:num>
  <w:num w:numId="3" w16cid:durableId="2106419143">
    <w:abstractNumId w:val="0"/>
  </w:num>
  <w:num w:numId="4" w16cid:durableId="974018492">
    <w:abstractNumId w:val="2"/>
  </w:num>
  <w:num w:numId="5" w16cid:durableId="2013528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9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99"/>
    <w:rsid w:val="00747EA2"/>
    <w:rsid w:val="007F1F17"/>
    <w:rsid w:val="007F216B"/>
    <w:rsid w:val="0086617F"/>
    <w:rsid w:val="008C2B99"/>
    <w:rsid w:val="00C56A71"/>
    <w:rsid w:val="00CD2CDB"/>
    <w:rsid w:val="00CD39B4"/>
    <w:rsid w:val="00DB7508"/>
    <w:rsid w:val="00E54AD8"/>
    <w:rsid w:val="00E8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605E79"/>
  <w15:chartTrackingRefBased/>
  <w15:docId w15:val="{4109A531-A0D7-442A-BBFE-61AC3FF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C2B99"/>
    <w:pPr>
      <w:jc w:val="both"/>
    </w:pPr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C2B99"/>
    <w:pPr>
      <w:keepNext/>
      <w:keepLines/>
      <w:numPr>
        <w:numId w:val="2"/>
      </w:numPr>
      <w:pBdr>
        <w:bottom w:val="double" w:sz="12" w:space="1" w:color="auto"/>
      </w:pBdr>
      <w:spacing w:before="480"/>
      <w:ind w:right="4536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1F17"/>
    <w:pPr>
      <w:keepNext/>
      <w:keepLines/>
      <w:numPr>
        <w:ilvl w:val="1"/>
        <w:numId w:val="2"/>
      </w:numPr>
      <w:spacing w:before="240" w:after="80"/>
      <w:ind w:left="578" w:hanging="578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C2B99"/>
    <w:pPr>
      <w:keepNext/>
      <w:keepLines/>
      <w:numPr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C2B99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2B99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2B99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2B99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2B99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2B99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2B99"/>
    <w:rPr>
      <w:rFonts w:ascii="Garamond" w:eastAsiaTheme="majorEastAsia" w:hAnsi="Garamond" w:cstheme="majorBidi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F1F17"/>
    <w:rPr>
      <w:rFonts w:ascii="Garamond" w:eastAsiaTheme="majorEastAsia" w:hAnsi="Garamond" w:cstheme="majorBidi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C2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8C2B9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2B9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2B9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2B9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2B9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2B9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C2B99"/>
    <w:pPr>
      <w:spacing w:after="36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2B99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2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C2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C2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C2B9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C2B9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C2B9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C2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C2B9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C2B99"/>
    <w:rPr>
      <w:b/>
      <w:bCs/>
      <w:smallCaps/>
      <w:color w:val="0F4761" w:themeColor="accent1" w:themeShade="BF"/>
      <w:spacing w:val="5"/>
    </w:rPr>
  </w:style>
  <w:style w:type="paragraph" w:customStyle="1" w:styleId="kp">
    <w:name w:val="kép"/>
    <w:basedOn w:val="Norml"/>
    <w:link w:val="kpChar"/>
    <w:qFormat/>
    <w:rsid w:val="008C2B99"/>
    <w:pPr>
      <w:jc w:val="center"/>
    </w:pPr>
    <w:rPr>
      <w:noProof/>
    </w:rPr>
  </w:style>
  <w:style w:type="character" w:customStyle="1" w:styleId="kpChar">
    <w:name w:val="kép Char"/>
    <w:basedOn w:val="Bekezdsalapbettpusa"/>
    <w:link w:val="kp"/>
    <w:rsid w:val="008C2B99"/>
    <w:rPr>
      <w:rFonts w:ascii="Garamond" w:hAnsi="Garamond"/>
      <w:noProof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F1F17"/>
    <w:pPr>
      <w:numPr>
        <w:numId w:val="0"/>
      </w:numPr>
      <w:pBdr>
        <w:bottom w:val="none" w:sz="0" w:space="0" w:color="auto"/>
      </w:pBdr>
      <w:spacing w:before="240" w:after="0"/>
      <w:ind w:right="0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F1F1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F1F17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7F1F17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F1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1F17"/>
    <w:rPr>
      <w:rFonts w:ascii="Garamond" w:hAnsi="Garamond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7F1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1F17"/>
    <w:rPr>
      <w:rFonts w:ascii="Garamond" w:hAnsi="Garamond"/>
      <w:sz w:val="24"/>
      <w:szCs w:val="24"/>
    </w:rPr>
  </w:style>
  <w:style w:type="character" w:styleId="Oldalszm">
    <w:name w:val="page number"/>
    <w:basedOn w:val="Bekezdsalapbettpusa"/>
    <w:uiPriority w:val="99"/>
    <w:semiHidden/>
    <w:unhideWhenUsed/>
    <w:rsid w:val="007F1F17"/>
  </w:style>
  <w:style w:type="paragraph" w:styleId="Kpalrs">
    <w:name w:val="caption"/>
    <w:basedOn w:val="Norml"/>
    <w:next w:val="Norml"/>
    <w:uiPriority w:val="35"/>
    <w:unhideWhenUsed/>
    <w:qFormat/>
    <w:rsid w:val="007F1F17"/>
    <w:pPr>
      <w:spacing w:before="40" w:after="120" w:line="240" w:lineRule="auto"/>
      <w:jc w:val="center"/>
    </w:pPr>
    <w:rPr>
      <w:i/>
      <w:iCs/>
      <w:noProof/>
      <w:color w:val="000000" w:themeColor="text1"/>
      <w:sz w:val="22"/>
      <w:szCs w:val="22"/>
    </w:rPr>
  </w:style>
  <w:style w:type="paragraph" w:styleId="Nincstrkz">
    <w:name w:val="No Spacing"/>
    <w:uiPriority w:val="1"/>
    <w:qFormat/>
    <w:rsid w:val="00747EA2"/>
    <w:pPr>
      <w:spacing w:after="0" w:line="240" w:lineRule="auto"/>
      <w:jc w:val="both"/>
    </w:pPr>
    <w:rPr>
      <w:rFonts w:ascii="Garamond" w:hAnsi="Garamond"/>
      <w:sz w:val="24"/>
      <w:szCs w:val="24"/>
    </w:rPr>
  </w:style>
  <w:style w:type="table" w:styleId="Rcsostblzat">
    <w:name w:val="Table Grid"/>
    <w:basedOn w:val="Normltblzat"/>
    <w:uiPriority w:val="39"/>
    <w:rsid w:val="0074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rgbClr val="BDD7E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endParaRPr lang="hu-H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Munka1!$A$2:$A$11</c:f>
              <c:strCache>
                <c:ptCount val="10"/>
                <c:pt idx="0">
                  <c:v>Volga</c:v>
                </c:pt>
                <c:pt idx="1">
                  <c:v>Duna</c:v>
                </c:pt>
                <c:pt idx="2">
                  <c:v>Urál</c:v>
                </c:pt>
                <c:pt idx="3">
                  <c:v>Dnyeper</c:v>
                </c:pt>
                <c:pt idx="4">
                  <c:v>Don</c:v>
                </c:pt>
                <c:pt idx="5">
                  <c:v>Dnyeszter</c:v>
                </c:pt>
                <c:pt idx="6">
                  <c:v>Rajna</c:v>
                </c:pt>
                <c:pt idx="7">
                  <c:v>Elba</c:v>
                </c:pt>
                <c:pt idx="8">
                  <c:v>Visztula</c:v>
                </c:pt>
                <c:pt idx="9">
                  <c:v>Daugava</c:v>
                </c:pt>
              </c:strCache>
            </c:strRef>
          </c:cat>
          <c:val>
            <c:numRef>
              <c:f>Munka1!$B$2:$B$11</c:f>
              <c:numCache>
                <c:formatCode>General</c:formatCode>
                <c:ptCount val="10"/>
                <c:pt idx="0">
                  <c:v>3692</c:v>
                </c:pt>
                <c:pt idx="1">
                  <c:v>2860</c:v>
                </c:pt>
                <c:pt idx="2">
                  <c:v>2428</c:v>
                </c:pt>
                <c:pt idx="3">
                  <c:v>2290</c:v>
                </c:pt>
                <c:pt idx="4">
                  <c:v>1950</c:v>
                </c:pt>
                <c:pt idx="5">
                  <c:v>1362</c:v>
                </c:pt>
                <c:pt idx="6">
                  <c:v>1320</c:v>
                </c:pt>
                <c:pt idx="7">
                  <c:v>1091</c:v>
                </c:pt>
                <c:pt idx="8">
                  <c:v>1047</c:v>
                </c:pt>
                <c:pt idx="9">
                  <c:v>1020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C7-4754-8B27-44E9E667FB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6"/>
        <c:axId val="1061504800"/>
        <c:axId val="1061497120"/>
      </c:barChart>
      <c:catAx>
        <c:axId val="10615048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hu-HU"/>
          </a:p>
        </c:txPr>
        <c:crossAx val="1061497120"/>
        <c:crosses val="autoZero"/>
        <c:auto val="1"/>
        <c:lblAlgn val="ctr"/>
        <c:lblOffset val="100"/>
        <c:noMultiLvlLbl val="0"/>
      </c:catAx>
      <c:valAx>
        <c:axId val="106149712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&quot; km &quot;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hu-HU"/>
          </a:p>
        </c:txPr>
        <c:crossAx val="1061504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C36D-B1BD-46EA-9F2D-7FFAA9CD2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1840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1</cp:revision>
  <dcterms:created xsi:type="dcterms:W3CDTF">2025-03-04T19:14:00Z</dcterms:created>
  <dcterms:modified xsi:type="dcterms:W3CDTF">2025-03-04T20:11:00Z</dcterms:modified>
</cp:coreProperties>
</file>