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B3D5C"/>
          <w:sz w:val="30"/>
        </w:rPr>
        <w:t>Konwerter ND45 → DTSU666 — skrócona instrukcja instalatora</w:t>
      </w:r>
    </w:p>
    <w:p>
      <w:pPr>
        <w:spacing w:after="120"/>
      </w:pPr>
      <w:r>
        <w:rPr>
          <w:color w:val="47535E"/>
          <w:sz w:val="19"/>
        </w:rPr>
        <w:t>Czujnik mocy (Power Sensor) dla magazynu energii Sigenergy · reComputer R1000</w:t>
      </w:r>
    </w:p>
    <w:p>
      <w:pPr>
        <w:spacing w:before="160" w:after="60"/>
        <w:pBdr>
          <w:bottom w:val="single" w:sz="6" w:space="2" w:color="D7E3EC"/>
        </w:pBdr>
      </w:pPr>
      <w:r>
        <w:rPr>
          <w:b/>
          <w:color w:val="0B3D5C"/>
          <w:sz w:val="23"/>
        </w:rPr>
        <w:t>Trzy połączenia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041"/>
            <w:shd w:val="clear" w:fill="EEF4F8"/>
          </w:tcPr>
          <w:p>
            <w:pPr>
              <w:spacing w:after="20" w:before="20"/>
            </w:pPr>
            <w:r>
              <w:rPr>
                <w:b/>
                <w:color w:val="0B3D5C"/>
                <w:sz w:val="19"/>
              </w:rPr>
              <w:t>Gniazdo</w:t>
            </w:r>
          </w:p>
        </w:tc>
        <w:tc>
          <w:tcPr>
            <w:tcW w:type="dxa" w:w="3061"/>
            <w:shd w:val="clear" w:fill="EEF4F8"/>
          </w:tcPr>
          <w:p>
            <w:pPr>
              <w:spacing w:after="20" w:before="20"/>
            </w:pPr>
            <w:r>
              <w:rPr>
                <w:b/>
                <w:color w:val="0B3D5C"/>
                <w:sz w:val="19"/>
              </w:rPr>
              <w:t>Podłączyć do</w:t>
            </w:r>
          </w:p>
        </w:tc>
        <w:tc>
          <w:tcPr>
            <w:tcW w:type="dxa" w:w="4762"/>
            <w:shd w:val="clear" w:fill="EEF4F8"/>
          </w:tcPr>
          <w:p>
            <w:pPr>
              <w:spacing w:after="20" w:before="20"/>
            </w:pPr>
            <w:r>
              <w:rPr>
                <w:b/>
                <w:color w:val="0B3D5C"/>
                <w:sz w:val="19"/>
              </w:rPr>
              <w:t>Uwagi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b/>
                <w:sz w:val="19"/>
              </w:rPr>
              <w:t>eth0 (RJ-45)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>
              <w:rPr>
                <w:b w:val="0"/>
                <w:sz w:val="19"/>
              </w:rPr>
              <w:t>Sieć LAN z Internetem, w której dostępny jest licznik ND45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>
              <w:rPr>
                <w:b w:val="0"/>
                <w:sz w:val="19"/>
              </w:rPr>
              <w:t>Licznik ND45 i konwerter w tej samej sieci. Modbus TCP, port 502, adres 1.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b/>
                <w:sz w:val="19"/>
              </w:rPr>
              <w:t>CH1A / CH1B (Modbus 1)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>
              <w:rPr>
                <w:b w:val="0"/>
                <w:sz w:val="19"/>
              </w:rPr>
              <w:t>Port RS-485 magazynu Sigenergy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>
              <w:rPr>
                <w:b w:val="0"/>
                <w:sz w:val="19"/>
              </w:rPr>
              <w:t>CH1A → A (D+), CH1B → B (D−). Zachować polaryzację. 9600 8N1, adres 1.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b/>
                <w:sz w:val="19"/>
              </w:rPr>
              <w:t>V+ / V−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>
              <w:rPr>
                <w:b w:val="0"/>
                <w:sz w:val="19"/>
              </w:rPr>
              <w:t>Zasilacz 24 V DC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>
              <w:rPr>
                <w:b w:val="0"/>
                <w:sz w:val="19"/>
              </w:rPr>
              <w:t>V+ na plus, V− (0 V) na minus.</w:t>
            </w:r>
          </w:p>
        </w:tc>
      </w:tr>
    </w:tbl>
    <w:p>
      <w:pPr>
        <w:spacing w:before="160" w:after="60"/>
        <w:pBdr>
          <w:bottom w:val="single" w:sz="6" w:space="2" w:color="D7E3EC"/>
        </w:pBdr>
      </w:pPr>
      <w:r>
        <w:rPr>
          <w:b/>
          <w:color w:val="0B3D5C"/>
          <w:sz w:val="23"/>
        </w:rPr>
        <w:t>Kolejność podłączania</w:t>
      </w:r>
    </w:p>
    <w:p>
      <w:pPr>
        <w:pStyle w:val="ListNumber"/>
        <w:spacing w:after="20"/>
      </w:pPr>
      <w:r>
        <w:rPr>
          <w:sz w:val="19"/>
        </w:rPr>
        <w:t>Przy odłączonym zasilaniu podłącz Ethernet do eth0 (sieć z licznikiem ND45 i Internetem).</w:t>
      </w:r>
    </w:p>
    <w:p>
      <w:pPr>
        <w:pStyle w:val="ListNumber"/>
        <w:spacing w:after="20"/>
      </w:pPr>
      <w:r>
        <w:rPr>
          <w:sz w:val="19"/>
        </w:rPr>
        <w:t>Podłącz RS-485 magazynu Sigenergy do CH1A / CH1B — uwaga na polaryzację A/B.</w:t>
      </w:r>
    </w:p>
    <w:p>
      <w:pPr>
        <w:pStyle w:val="ListNumber"/>
        <w:spacing w:after="20"/>
      </w:pPr>
      <w:r>
        <w:rPr>
          <w:sz w:val="19"/>
        </w:rPr>
        <w:t>Na końcu podłącz i włącz zasilanie 24 V DC (V+ / V−).</w:t>
      </w:r>
    </w:p>
    <w:p>
      <w:pPr>
        <w:pStyle w:val="ListNumber"/>
        <w:spacing w:after="20"/>
      </w:pPr>
      <w:r>
        <w:rPr>
          <w:sz w:val="19"/>
        </w:rPr>
        <w:t>Urządzenie startuje automatycznie — mostek uruchamia się sam po włączeniu zasilania.</w:t>
      </w:r>
    </w:p>
    <w:p>
      <w:pPr>
        <w:spacing w:before="160" w:after="60"/>
        <w:pBdr>
          <w:bottom w:val="single" w:sz="6" w:space="2" w:color="D7E3EC"/>
        </w:pBdr>
      </w:pPr>
      <w:r>
        <w:rPr>
          <w:b/>
          <w:color w:val="0B3D5C"/>
          <w:sz w:val="23"/>
        </w:rPr>
        <w:t>Konfiguracja w magazynie Sigenergy</w:t>
      </w:r>
    </w:p>
    <w:p>
      <w:pPr>
        <w:spacing w:after="40"/>
      </w:pPr>
      <w:r>
        <w:rPr>
          <w:b w:val="0"/>
          <w:sz w:val="19"/>
        </w:rPr>
        <w:t xml:space="preserve">Wybierz licznik </w:t>
      </w:r>
      <w:r>
        <w:rPr>
          <w:b/>
          <w:sz w:val="19"/>
        </w:rPr>
        <w:t>DTSU666</w:t>
      </w:r>
      <w:r>
        <w:rPr>
          <w:b w:val="0"/>
          <w:sz w:val="19"/>
        </w:rPr>
        <w:t xml:space="preserve"> na porcie </w:t>
      </w:r>
      <w:r>
        <w:rPr>
          <w:b/>
          <w:sz w:val="19"/>
        </w:rPr>
        <w:t>Modbus 1</w:t>
      </w:r>
      <w:r>
        <w:rPr>
          <w:b w:val="0"/>
          <w:sz w:val="19"/>
        </w:rPr>
        <w:t xml:space="preserve">, prędkość </w:t>
      </w:r>
      <w:r>
        <w:rPr>
          <w:b/>
          <w:sz w:val="19"/>
        </w:rPr>
        <w:t>9600</w:t>
      </w:r>
      <w:r>
        <w:rPr>
          <w:b w:val="0"/>
          <w:sz w:val="19"/>
        </w:rPr>
        <w:t xml:space="preserve">, adres </w:t>
      </w:r>
      <w:r>
        <w:rPr>
          <w:b/>
          <w:sz w:val="19"/>
        </w:rPr>
        <w:t>1</w:t>
      </w:r>
      <w:r>
        <w:rPr>
          <w:b w:val="0"/>
          <w:sz w:val="19"/>
        </w:rPr>
        <w:t>.</w:t>
      </w:r>
    </w:p>
    <w:p>
      <w:pPr>
        <w:spacing w:before="160" w:after="60"/>
        <w:pBdr>
          <w:bottom w:val="single" w:sz="6" w:space="2" w:color="D7E3EC"/>
        </w:pBdr>
      </w:pPr>
      <w:r>
        <w:rPr>
          <w:b/>
          <w:color w:val="0B3D5C"/>
          <w:sz w:val="23"/>
        </w:rPr>
        <w:t>Sprawdzenie i zabezpieczenie</w:t>
      </w:r>
    </w:p>
    <w:p>
      <w:pPr>
        <w:pStyle w:val="ListBullet"/>
        <w:spacing w:after="20"/>
      </w:pPr>
      <w:r>
        <w:rPr>
          <w:sz w:val="19"/>
        </w:rPr>
        <w:t>Po ok. 30 s magazyn pokazuje moc z sieci (P, U ~230 V, I) — wartości wiarygodne, poprawny kierunek mocy.</w:t>
      </w:r>
    </w:p>
    <w:p>
      <w:pPr>
        <w:pStyle w:val="ListBullet"/>
        <w:spacing w:after="20"/>
      </w:pPr>
      <w:r>
        <w:rPr>
          <w:sz w:val="19"/>
        </w:rPr>
        <w:t>Fail-safe: po utracie łączności z ND45 (odłączony eth0) konwerter milknie na RS-485, a Sigenergy przechodzi w tryb bezpieczny. Po przywróceniu sieci komunikacja wraca sama — to zachowanie zamierzone.</w:t>
      </w:r>
    </w:p>
    <w:p>
      <w:pPr>
        <w:spacing w:before="200"/>
      </w:pPr>
      <w:r>
        <w:rPr>
          <w:i/>
          <w:color w:val="47535E"/>
          <w:sz w:val="17"/>
        </w:rPr>
        <w:t>Rozwiązanie tymczasowe — do czasu montażu fizycznego licznika DTSU666.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